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4801"/>
        <w:gridCol w:w="2455"/>
      </w:tblGrid>
      <w:tr w:rsidR="00DF199C" w:rsidTr="001C34F8">
        <w:trPr>
          <w:trHeight w:val="708"/>
        </w:trPr>
        <w:tc>
          <w:tcPr>
            <w:tcW w:w="2242" w:type="dxa"/>
            <w:vMerge w:val="restart"/>
            <w:vAlign w:val="bottom"/>
          </w:tcPr>
          <w:p w:rsidR="00DF199C" w:rsidRDefault="00DF199C" w:rsidP="00DF199C">
            <w:pPr>
              <w:jc w:val="center"/>
              <w:rPr>
                <w:b/>
              </w:rPr>
            </w:pPr>
          </w:p>
          <w:p w:rsidR="00DF199C" w:rsidRDefault="00DF199C" w:rsidP="00DF199C">
            <w:pPr>
              <w:jc w:val="center"/>
              <w:rPr>
                <w:b/>
              </w:rPr>
            </w:pPr>
          </w:p>
          <w:p w:rsidR="00DF199C" w:rsidRDefault="00DF199C" w:rsidP="00DF199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D4F8D2" wp14:editId="3C5A4DA8">
                  <wp:extent cx="914400" cy="10191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99C" w:rsidRDefault="00DF199C" w:rsidP="00DF199C">
            <w:pPr>
              <w:jc w:val="center"/>
              <w:rPr>
                <w:b/>
              </w:rPr>
            </w:pPr>
          </w:p>
          <w:p w:rsidR="00DF199C" w:rsidRDefault="00DF199C" w:rsidP="00DF199C">
            <w:pPr>
              <w:jc w:val="center"/>
              <w:rPr>
                <w:b/>
              </w:rPr>
            </w:pPr>
          </w:p>
          <w:p w:rsidR="00DF199C" w:rsidRDefault="00DF199C" w:rsidP="00DF199C">
            <w:pPr>
              <w:jc w:val="center"/>
              <w:rPr>
                <w:b/>
              </w:rPr>
            </w:pPr>
          </w:p>
          <w:p w:rsidR="00DF199C" w:rsidRDefault="00DF199C" w:rsidP="00DF199C">
            <w:pPr>
              <w:jc w:val="center"/>
              <w:rPr>
                <w:b/>
              </w:rPr>
            </w:pPr>
          </w:p>
        </w:tc>
        <w:tc>
          <w:tcPr>
            <w:tcW w:w="4801" w:type="dxa"/>
          </w:tcPr>
          <w:p w:rsidR="00DF199C" w:rsidRDefault="00DF199C" w:rsidP="00103CD5">
            <w:pPr>
              <w:jc w:val="center"/>
              <w:rPr>
                <w:b/>
              </w:rPr>
            </w:pPr>
          </w:p>
        </w:tc>
        <w:tc>
          <w:tcPr>
            <w:tcW w:w="2455" w:type="dxa"/>
          </w:tcPr>
          <w:p w:rsidR="00DF199C" w:rsidRDefault="00DF199C" w:rsidP="00DF199C">
            <w:pPr>
              <w:jc w:val="center"/>
              <w:rPr>
                <w:noProof/>
                <w:lang w:eastAsia="fr-FR"/>
              </w:rPr>
            </w:pPr>
          </w:p>
        </w:tc>
      </w:tr>
      <w:tr w:rsidR="00DF199C" w:rsidTr="00A84FFE">
        <w:trPr>
          <w:trHeight w:val="1739"/>
        </w:trPr>
        <w:tc>
          <w:tcPr>
            <w:tcW w:w="2242" w:type="dxa"/>
            <w:vMerge/>
            <w:vAlign w:val="bottom"/>
          </w:tcPr>
          <w:p w:rsidR="00DF199C" w:rsidRDefault="00DF199C" w:rsidP="00DF199C">
            <w:pPr>
              <w:jc w:val="center"/>
              <w:rPr>
                <w:b/>
              </w:rPr>
            </w:pPr>
          </w:p>
        </w:tc>
        <w:tc>
          <w:tcPr>
            <w:tcW w:w="4801" w:type="dxa"/>
          </w:tcPr>
          <w:p w:rsidR="00DF199C" w:rsidRDefault="00DF199C" w:rsidP="00103CD5">
            <w:pPr>
              <w:jc w:val="center"/>
              <w:rPr>
                <w:b/>
              </w:rPr>
            </w:pPr>
          </w:p>
        </w:tc>
        <w:tc>
          <w:tcPr>
            <w:tcW w:w="2455" w:type="dxa"/>
          </w:tcPr>
          <w:p w:rsidR="00DF199C" w:rsidRDefault="00DF199C" w:rsidP="00DF199C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61F6CD" wp14:editId="1C460F56">
                  <wp:extent cx="900334" cy="609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12" cy="610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99C" w:rsidRDefault="00DF199C" w:rsidP="00103CD5">
      <w:pPr>
        <w:jc w:val="center"/>
        <w:rPr>
          <w:b/>
        </w:rPr>
      </w:pPr>
    </w:p>
    <w:p w:rsidR="00DF199C" w:rsidRDefault="00DF199C" w:rsidP="00103CD5">
      <w:pPr>
        <w:jc w:val="center"/>
        <w:rPr>
          <w:b/>
        </w:rPr>
      </w:pPr>
    </w:p>
    <w:p w:rsidR="00DF199C" w:rsidRDefault="00DF199C" w:rsidP="00103CD5">
      <w:pPr>
        <w:jc w:val="center"/>
        <w:rPr>
          <w:b/>
        </w:rPr>
      </w:pPr>
    </w:p>
    <w:p w:rsidR="004B51A7" w:rsidRPr="001C34F8" w:rsidRDefault="009B6F26" w:rsidP="00103CD5">
      <w:pPr>
        <w:jc w:val="center"/>
        <w:rPr>
          <w:b/>
          <w:sz w:val="44"/>
          <w:szCs w:val="44"/>
        </w:rPr>
      </w:pPr>
      <w:r w:rsidRPr="001C34F8">
        <w:rPr>
          <w:b/>
          <w:sz w:val="44"/>
          <w:szCs w:val="44"/>
        </w:rPr>
        <w:t xml:space="preserve">Appel à </w:t>
      </w:r>
      <w:r w:rsidR="00721D4E" w:rsidRPr="00721D4E">
        <w:rPr>
          <w:b/>
          <w:sz w:val="44"/>
          <w:szCs w:val="44"/>
        </w:rPr>
        <w:t>M</w:t>
      </w:r>
      <w:r w:rsidR="00A8040A" w:rsidRPr="00721D4E">
        <w:rPr>
          <w:b/>
          <w:sz w:val="44"/>
          <w:szCs w:val="44"/>
        </w:rPr>
        <w:t>anifestation</w:t>
      </w:r>
      <w:r w:rsidR="00A8040A" w:rsidRPr="001C34F8">
        <w:rPr>
          <w:b/>
          <w:sz w:val="44"/>
          <w:szCs w:val="44"/>
        </w:rPr>
        <w:t xml:space="preserve"> d’</w:t>
      </w:r>
      <w:r w:rsidR="00721D4E">
        <w:rPr>
          <w:b/>
          <w:sz w:val="44"/>
          <w:szCs w:val="44"/>
        </w:rPr>
        <w:t>I</w:t>
      </w:r>
      <w:r w:rsidR="00A8040A" w:rsidRPr="001C34F8">
        <w:rPr>
          <w:b/>
          <w:sz w:val="44"/>
          <w:szCs w:val="44"/>
        </w:rPr>
        <w:t>ntérêt</w:t>
      </w:r>
    </w:p>
    <w:p w:rsidR="00DF199C" w:rsidRPr="0073030D" w:rsidRDefault="00DF199C" w:rsidP="00103CD5">
      <w:pPr>
        <w:jc w:val="center"/>
        <w:rPr>
          <w:b/>
        </w:rPr>
      </w:pPr>
    </w:p>
    <w:p w:rsidR="009B6F26" w:rsidRPr="001C34F8" w:rsidRDefault="0073030D" w:rsidP="00103CD5">
      <w:pPr>
        <w:jc w:val="center"/>
        <w:rPr>
          <w:sz w:val="40"/>
          <w:szCs w:val="40"/>
        </w:rPr>
      </w:pPr>
      <w:r w:rsidRPr="001C34F8">
        <w:rPr>
          <w:sz w:val="40"/>
          <w:szCs w:val="40"/>
        </w:rPr>
        <w:t>« </w:t>
      </w:r>
      <w:r w:rsidR="00DB2EEE">
        <w:rPr>
          <w:sz w:val="40"/>
          <w:szCs w:val="40"/>
        </w:rPr>
        <w:t xml:space="preserve">Aides aux </w:t>
      </w:r>
      <w:r w:rsidR="008B4E94">
        <w:rPr>
          <w:sz w:val="40"/>
          <w:szCs w:val="40"/>
        </w:rPr>
        <w:t>entreprises</w:t>
      </w:r>
      <w:r w:rsidRPr="001C34F8">
        <w:rPr>
          <w:sz w:val="40"/>
          <w:szCs w:val="40"/>
        </w:rPr>
        <w:t>»</w:t>
      </w:r>
    </w:p>
    <w:p w:rsidR="00A8040A" w:rsidRDefault="00A8040A">
      <w:bookmarkStart w:id="0" w:name="_GoBack"/>
      <w:bookmarkEnd w:id="0"/>
    </w:p>
    <w:p w:rsidR="00415D0D" w:rsidRDefault="00A8040A" w:rsidP="00A8040A">
      <w:pPr>
        <w:jc w:val="both"/>
      </w:pPr>
      <w:r>
        <w:t xml:space="preserve">Dans le cadre de la mise en œuvre du PO FEDER-FSE 2014-2020, approuvé le 18 décembre </w:t>
      </w:r>
      <w:r w:rsidR="009B5D7B">
        <w:t>2014</w:t>
      </w:r>
      <w:r>
        <w:t>, l</w:t>
      </w:r>
      <w:r w:rsidR="008B4E94">
        <w:t>a Région Guyane lance l’</w:t>
      </w:r>
      <w:r w:rsidR="009B5D7B">
        <w:t>Appel à Manifestation d’I</w:t>
      </w:r>
      <w:r w:rsidR="008B4E94">
        <w:t xml:space="preserve">ntérêt (AMI) visant à soutenir l’investissement au sein </w:t>
      </w:r>
      <w:r w:rsidR="006228D4">
        <w:t>des entreprises retenu</w:t>
      </w:r>
      <w:r w:rsidR="00415D0D">
        <w:t xml:space="preserve"> comme prioritaire par le programme. </w:t>
      </w:r>
    </w:p>
    <w:p w:rsidR="00F24DB2" w:rsidRDefault="00F24DB2" w:rsidP="00A84FFE">
      <w:pPr>
        <w:jc w:val="center"/>
      </w:pPr>
    </w:p>
    <w:p w:rsidR="00F24DB2" w:rsidRDefault="00F24DB2" w:rsidP="00A84FFE">
      <w:pPr>
        <w:jc w:val="center"/>
      </w:pPr>
    </w:p>
    <w:p w:rsidR="00D81A99" w:rsidRDefault="00672390" w:rsidP="00A84FFE">
      <w:pPr>
        <w:jc w:val="center"/>
      </w:pPr>
      <w:r>
        <w:t>Contact :</w:t>
      </w:r>
    </w:p>
    <w:p w:rsidR="00B141E2" w:rsidRDefault="00B141E2" w:rsidP="00F24DB2">
      <w:pPr>
        <w:spacing w:after="0"/>
        <w:jc w:val="center"/>
      </w:pPr>
      <w:r>
        <w:t xml:space="preserve">Pôle des Affaires </w:t>
      </w:r>
      <w:r w:rsidR="004A2847">
        <w:t>Européennes</w:t>
      </w:r>
    </w:p>
    <w:p w:rsidR="009B5D7B" w:rsidRDefault="009B5D7B" w:rsidP="00F24DB2">
      <w:pPr>
        <w:spacing w:after="0"/>
        <w:jc w:val="center"/>
      </w:pPr>
      <w:r>
        <w:t>Les Verrières de la Madeleine</w:t>
      </w:r>
    </w:p>
    <w:p w:rsidR="00B141E2" w:rsidRDefault="00B141E2" w:rsidP="00F24DB2">
      <w:pPr>
        <w:spacing w:after="0"/>
        <w:jc w:val="center"/>
      </w:pPr>
      <w:r>
        <w:t>2260, route de la madeleine</w:t>
      </w:r>
    </w:p>
    <w:p w:rsidR="00B141E2" w:rsidRDefault="00B141E2" w:rsidP="00F24DB2">
      <w:pPr>
        <w:spacing w:after="0"/>
        <w:jc w:val="center"/>
      </w:pPr>
      <w:r>
        <w:t>97300 CAYENNE</w:t>
      </w:r>
    </w:p>
    <w:p w:rsidR="00672390" w:rsidRDefault="00672390" w:rsidP="00F24DB2">
      <w:pPr>
        <w:spacing w:after="0"/>
        <w:jc w:val="center"/>
      </w:pPr>
      <w:r>
        <w:t>0594 27 59 64</w:t>
      </w:r>
      <w:r w:rsidR="00F24DB2">
        <w:t xml:space="preserve">  / </w:t>
      </w:r>
      <w:hyperlink r:id="rId10" w:history="1">
        <w:r w:rsidR="004A2847" w:rsidRPr="00DF3845">
          <w:rPr>
            <w:rStyle w:val="Lienhypertexte"/>
          </w:rPr>
          <w:t>amifesi</w:t>
        </w:r>
        <w:r w:rsidRPr="00DF3845">
          <w:rPr>
            <w:rStyle w:val="Lienhypertexte"/>
          </w:rPr>
          <w:t>@cr-guyane.fr</w:t>
        </w:r>
      </w:hyperlink>
    </w:p>
    <w:p w:rsidR="00D81A99" w:rsidRDefault="00D81A99" w:rsidP="00A8040A">
      <w:pPr>
        <w:jc w:val="both"/>
      </w:pPr>
    </w:p>
    <w:p w:rsidR="00F24DB2" w:rsidRDefault="00F24DB2" w:rsidP="00A8040A">
      <w:pPr>
        <w:jc w:val="both"/>
      </w:pPr>
    </w:p>
    <w:p w:rsidR="00F24DB2" w:rsidRDefault="00F24DB2" w:rsidP="00A8040A">
      <w:pPr>
        <w:jc w:val="both"/>
      </w:pPr>
    </w:p>
    <w:p w:rsidR="00D81A99" w:rsidRDefault="00D81A99" w:rsidP="00A8040A">
      <w:pPr>
        <w:jc w:val="both"/>
      </w:pPr>
    </w:p>
    <w:p w:rsidR="001C3634" w:rsidRPr="00A84FFE" w:rsidRDefault="001C3634" w:rsidP="00A8040A">
      <w:pPr>
        <w:jc w:val="both"/>
        <w:rPr>
          <w:b/>
        </w:rPr>
      </w:pPr>
      <w:r w:rsidRPr="00A84FFE">
        <w:rPr>
          <w:b/>
        </w:rPr>
        <w:t>La date limite de remise des réponses est fixée au </w:t>
      </w:r>
      <w:r w:rsidR="004930B2">
        <w:rPr>
          <w:b/>
        </w:rPr>
        <w:t xml:space="preserve">30 </w:t>
      </w:r>
      <w:r w:rsidR="008B4E94">
        <w:rPr>
          <w:b/>
        </w:rPr>
        <w:t>septembre</w:t>
      </w:r>
      <w:r w:rsidR="00F24DB2">
        <w:rPr>
          <w:b/>
        </w:rPr>
        <w:t xml:space="preserve"> 2015</w:t>
      </w:r>
      <w:r w:rsidR="00A27DE9">
        <w:rPr>
          <w:b/>
        </w:rPr>
        <w:t xml:space="preserve"> à 12h (heure de Guyane)</w:t>
      </w:r>
    </w:p>
    <w:p w:rsidR="00D81A99" w:rsidRDefault="00D81A99" w:rsidP="00A8040A">
      <w:pPr>
        <w:jc w:val="both"/>
      </w:pPr>
    </w:p>
    <w:p w:rsidR="00D81A99" w:rsidRDefault="00D81A99" w:rsidP="00A8040A">
      <w:pPr>
        <w:jc w:val="both"/>
      </w:pPr>
    </w:p>
    <w:p w:rsidR="00334F1E" w:rsidRDefault="00334F1E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241021684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34F1E" w:rsidRDefault="00334F1E">
          <w:pPr>
            <w:pStyle w:val="En-ttedetabledesmatires"/>
            <w:rPr>
              <w:color w:val="auto"/>
              <w:sz w:val="28"/>
              <w:szCs w:val="28"/>
            </w:rPr>
          </w:pPr>
          <w:r w:rsidRPr="00334F1E">
            <w:rPr>
              <w:color w:val="auto"/>
              <w:sz w:val="28"/>
              <w:szCs w:val="28"/>
            </w:rPr>
            <w:t>Table des matières</w:t>
          </w:r>
        </w:p>
        <w:p w:rsidR="00334F1E" w:rsidRPr="00334F1E" w:rsidRDefault="00334F1E" w:rsidP="00334F1E">
          <w:pPr>
            <w:rPr>
              <w:lang w:eastAsia="fr-FR"/>
            </w:rPr>
          </w:pPr>
        </w:p>
        <w:p w:rsidR="00075D80" w:rsidRDefault="00CF264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334F1E">
            <w:instrText xml:space="preserve"> TOC \o "1-3" \h \z \u </w:instrText>
          </w:r>
          <w:r>
            <w:fldChar w:fldCharType="separate"/>
          </w:r>
          <w:hyperlink w:anchor="_Toc424823965" w:history="1">
            <w:r w:rsidR="00075D80" w:rsidRPr="00192673">
              <w:rPr>
                <w:rStyle w:val="Lienhypertexte"/>
                <w:b/>
                <w:noProof/>
              </w:rPr>
              <w:t>1.</w:t>
            </w:r>
            <w:r w:rsidR="00075D80">
              <w:rPr>
                <w:rFonts w:eastAsiaTheme="minorEastAsia"/>
                <w:noProof/>
                <w:lang w:eastAsia="fr-FR"/>
              </w:rPr>
              <w:tab/>
            </w:r>
            <w:r w:rsidR="00075D80" w:rsidRPr="00192673">
              <w:rPr>
                <w:rStyle w:val="Lienhypertexte"/>
                <w:b/>
                <w:noProof/>
              </w:rPr>
              <w:t>Le contexte du tissu économique de la Guyane</w:t>
            </w:r>
            <w:r w:rsidR="00075D80">
              <w:rPr>
                <w:noProof/>
                <w:webHidden/>
              </w:rPr>
              <w:tab/>
            </w:r>
            <w:r w:rsidR="00075D80">
              <w:rPr>
                <w:noProof/>
                <w:webHidden/>
              </w:rPr>
              <w:fldChar w:fldCharType="begin"/>
            </w:r>
            <w:r w:rsidR="00075D80">
              <w:rPr>
                <w:noProof/>
                <w:webHidden/>
              </w:rPr>
              <w:instrText xml:space="preserve"> PAGEREF _Toc424823965 \h </w:instrText>
            </w:r>
            <w:r w:rsidR="00075D80">
              <w:rPr>
                <w:noProof/>
                <w:webHidden/>
              </w:rPr>
            </w:r>
            <w:r w:rsidR="00075D80">
              <w:rPr>
                <w:noProof/>
                <w:webHidden/>
              </w:rPr>
              <w:fldChar w:fldCharType="separate"/>
            </w:r>
            <w:r w:rsidR="00075D80">
              <w:rPr>
                <w:noProof/>
                <w:webHidden/>
              </w:rPr>
              <w:t>3</w:t>
            </w:r>
            <w:r w:rsidR="00075D80"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66" w:history="1">
            <w:r w:rsidRPr="00192673">
              <w:rPr>
                <w:rStyle w:val="Lienhypertexte"/>
                <w:noProof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Situation actuelle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67" w:history="1">
            <w:r w:rsidRPr="00192673">
              <w:rPr>
                <w:rStyle w:val="Lienhypertexte"/>
                <w:noProof/>
              </w:rPr>
              <w:t>b.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Perspectives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68" w:history="1">
            <w:r w:rsidRPr="00192673">
              <w:rPr>
                <w:rStyle w:val="Lienhypertexte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b/>
                <w:noProof/>
              </w:rPr>
              <w:t>Objectifs et nature de l’Appel à Manifestation d’Intérêt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69" w:history="1">
            <w:r w:rsidRPr="00192673">
              <w:rPr>
                <w:rStyle w:val="Lienhypertexte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b/>
                <w:noProof/>
              </w:rPr>
              <w:t>Conditions d’éligibilité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0" w:history="1">
            <w:r w:rsidRPr="00192673">
              <w:rPr>
                <w:rStyle w:val="Lienhypertexte"/>
                <w:noProof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Territoires éligibles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1" w:history="1">
            <w:r w:rsidRPr="00192673">
              <w:rPr>
                <w:rStyle w:val="Lienhypertexte"/>
                <w:noProof/>
              </w:rPr>
              <w:t>b.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Bénéficiaires éligibles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2" w:history="1">
            <w:r w:rsidRPr="00192673">
              <w:rPr>
                <w:rStyle w:val="Lienhypertexte"/>
                <w:noProof/>
              </w:rPr>
              <w:t>c.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Actions éligibles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3" w:history="1">
            <w:r w:rsidRPr="00192673">
              <w:rPr>
                <w:rStyle w:val="Lienhypertexte"/>
                <w:noProof/>
              </w:rPr>
              <w:t>d.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Exemples dépenses éligibles (cf. projet du décret d’éligibilité pour la période 2014-2020)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4" w:history="1">
            <w:r w:rsidRPr="00192673">
              <w:rPr>
                <w:rStyle w:val="Lienhypertexte"/>
                <w:noProof/>
              </w:rPr>
              <w:t>e.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Dépenses inéligibles (cf. projet du décret d’éligibilité pour la période 2014-2020)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5" w:history="1">
            <w:r w:rsidRPr="00192673">
              <w:rPr>
                <w:rStyle w:val="Lienhypertexte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b/>
                <w:noProof/>
              </w:rPr>
              <w:t>Financement mobilisable et modalité de l’aide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6" w:history="1">
            <w:r w:rsidRPr="00192673">
              <w:rPr>
                <w:rStyle w:val="Lienhypertexte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b/>
                <w:noProof/>
              </w:rPr>
              <w:t>Déroulement de la procédure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7" w:history="1">
            <w:r w:rsidRPr="00192673">
              <w:rPr>
                <w:rStyle w:val="Lienhypertexte"/>
                <w:noProof/>
              </w:rPr>
              <w:t>a.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Comment participer à un Appel à Manifestation d’Intérêt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8" w:history="1">
            <w:r w:rsidRPr="00192673">
              <w:rPr>
                <w:rStyle w:val="Lienhypertexte"/>
                <w:noProof/>
              </w:rPr>
              <w:t>b.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Dossier d’appel à manifestation d’intérêt et questionnement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79" w:history="1">
            <w:r w:rsidRPr="00192673">
              <w:rPr>
                <w:rStyle w:val="Lienhypertexte"/>
                <w:noProof/>
              </w:rPr>
              <w:t>c.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Interlocuteur pour l’obtention de renseignements complémentaires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0" w:history="1">
            <w:r w:rsidRPr="00192673">
              <w:rPr>
                <w:rStyle w:val="Lienhypertexte"/>
                <w:noProof/>
              </w:rPr>
              <w:t>d.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Critères d’appréciation et de sélection des projets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1" w:history="1">
            <w:r w:rsidRPr="00192673">
              <w:rPr>
                <w:rStyle w:val="Lienhypertexte"/>
                <w:noProof/>
              </w:rPr>
              <w:t>e.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Pièces à fournir par le soumissionnaire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2" w:history="1">
            <w:r w:rsidRPr="00192673">
              <w:rPr>
                <w:rStyle w:val="Lienhypertexte"/>
                <w:noProof/>
              </w:rPr>
              <w:t>f.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Dépôt des dossiers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3" w:history="1">
            <w:r w:rsidRPr="00192673">
              <w:rPr>
                <w:rStyle w:val="Lienhypertexte"/>
                <w:noProof/>
              </w:rPr>
              <w:t>g.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Appréciation des offres et sélection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4" w:history="1">
            <w:r w:rsidRPr="00192673">
              <w:rPr>
                <w:rStyle w:val="Lienhypertexte"/>
                <w:noProof/>
              </w:rPr>
              <w:t>h.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noProof/>
              </w:rPr>
              <w:t>Calendrier prévisionnel – schéma du mode opératoire retenu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80" w:rsidRDefault="00075D8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24823985" w:history="1">
            <w:r w:rsidRPr="00192673">
              <w:rPr>
                <w:rStyle w:val="Lienhypertexte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192673">
              <w:rPr>
                <w:rStyle w:val="Lienhypertexte"/>
                <w:b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_Toc424823985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4F1E" w:rsidRDefault="00CF264B">
          <w:r>
            <w:rPr>
              <w:b/>
              <w:bCs/>
            </w:rPr>
            <w:fldChar w:fldCharType="end"/>
          </w:r>
        </w:p>
      </w:sdtContent>
    </w:sdt>
    <w:p w:rsidR="00334F1E" w:rsidRPr="00103CD5" w:rsidRDefault="00334F1E">
      <w:pPr>
        <w:rPr>
          <w:b/>
        </w:rPr>
      </w:pPr>
    </w:p>
    <w:p w:rsidR="00DF199C" w:rsidRDefault="00DF199C">
      <w:pPr>
        <w:rPr>
          <w:b/>
        </w:rPr>
      </w:pPr>
      <w:r>
        <w:rPr>
          <w:b/>
        </w:rPr>
        <w:br w:type="page"/>
      </w:r>
    </w:p>
    <w:p w:rsidR="008C75FB" w:rsidRPr="001D7587" w:rsidRDefault="00816532" w:rsidP="00334F1E">
      <w:pPr>
        <w:pStyle w:val="Titre10"/>
        <w:numPr>
          <w:ilvl w:val="0"/>
          <w:numId w:val="19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" w:name="_Toc424823965"/>
      <w:r w:rsidRPr="001D7587">
        <w:rPr>
          <w:rFonts w:asciiTheme="minorHAnsi" w:hAnsiTheme="minorHAnsi"/>
          <w:b/>
          <w:color w:val="auto"/>
          <w:sz w:val="22"/>
          <w:szCs w:val="22"/>
        </w:rPr>
        <w:lastRenderedPageBreak/>
        <w:t>Le contexte d</w:t>
      </w:r>
      <w:r w:rsidR="00DB2EEE" w:rsidRPr="001D7587">
        <w:rPr>
          <w:rFonts w:asciiTheme="minorHAnsi" w:hAnsiTheme="minorHAnsi"/>
          <w:b/>
          <w:color w:val="auto"/>
          <w:sz w:val="22"/>
          <w:szCs w:val="22"/>
        </w:rPr>
        <w:t>u tissu économique de la Guyane</w:t>
      </w:r>
      <w:bookmarkEnd w:id="1"/>
    </w:p>
    <w:p w:rsidR="008C75FB" w:rsidRPr="001D7587" w:rsidRDefault="008C75FB" w:rsidP="00334F1E">
      <w:pPr>
        <w:pStyle w:val="Titre2"/>
        <w:numPr>
          <w:ilvl w:val="0"/>
          <w:numId w:val="20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2" w:name="_Toc424823966"/>
      <w:r w:rsidRPr="001D7587">
        <w:rPr>
          <w:rFonts w:asciiTheme="minorHAnsi" w:hAnsiTheme="minorHAnsi"/>
          <w:color w:val="auto"/>
          <w:sz w:val="22"/>
          <w:szCs w:val="22"/>
        </w:rPr>
        <w:t>Situation actuelle</w:t>
      </w:r>
      <w:bookmarkEnd w:id="2"/>
    </w:p>
    <w:p w:rsidR="0054587D" w:rsidRPr="001D7587" w:rsidRDefault="0054587D" w:rsidP="00573044">
      <w:pPr>
        <w:jc w:val="both"/>
      </w:pPr>
      <w:r w:rsidRPr="001D7587">
        <w:t xml:space="preserve">L’économie </w:t>
      </w:r>
      <w:r w:rsidR="006228D4" w:rsidRPr="001D7587">
        <w:t>guyanaise</w:t>
      </w:r>
      <w:r w:rsidRPr="001D7587">
        <w:t xml:space="preserve"> se caractérise par une atomisation de son tissu productif : 95% des entreprises ont moins de 5 salariés, contre 77% au niveau national, et par l’importance de l’activité informelle.</w:t>
      </w:r>
    </w:p>
    <w:p w:rsidR="0054587D" w:rsidRPr="001D7587" w:rsidRDefault="0054587D" w:rsidP="00573044">
      <w:pPr>
        <w:jc w:val="both"/>
      </w:pPr>
      <w:r w:rsidRPr="001D7587">
        <w:t xml:space="preserve">Le tissu économique est cependant dynamique avec un taux de création d’entreprise élevé. </w:t>
      </w:r>
      <w:r w:rsidR="00CA3230" w:rsidRPr="001D7587">
        <w:t>Il y est également à noter qu’</w:t>
      </w:r>
      <w:r w:rsidR="00C40D79" w:rsidRPr="001D7587">
        <w:t>un nombre important</w:t>
      </w:r>
      <w:r w:rsidRPr="001D7587">
        <w:t xml:space="preserve"> d’entreprises </w:t>
      </w:r>
      <w:r w:rsidR="004930B2" w:rsidRPr="001D7587">
        <w:t xml:space="preserve">a </w:t>
      </w:r>
      <w:r w:rsidRPr="001D7587">
        <w:t>des difficultés à financer leurs projets de création ou de développement, du fait de l</w:t>
      </w:r>
      <w:r w:rsidR="004930B2" w:rsidRPr="001D7587">
        <w:t xml:space="preserve">’insuffisance de leurs fonds propres </w:t>
      </w:r>
      <w:r w:rsidRPr="001D7587">
        <w:t>et des faibles garanties qu’elles sont en mesure de donner aux banques.</w:t>
      </w:r>
    </w:p>
    <w:p w:rsidR="00520775" w:rsidRPr="001D7587" w:rsidRDefault="00CF573D" w:rsidP="00CF573D">
      <w:pPr>
        <w:jc w:val="both"/>
      </w:pPr>
      <w:r w:rsidRPr="001D7587">
        <w:t xml:space="preserve">La Guyane dispose cependant d’atouts naturels qui sont de véritables opportunités pour l’activité économique française et </w:t>
      </w:r>
      <w:r w:rsidR="00EC2EF8" w:rsidRPr="001D7587">
        <w:t>d’</w:t>
      </w:r>
      <w:r w:rsidRPr="001D7587">
        <w:t xml:space="preserve">un rayonnement de l’UE en Amérique du sud, notamment dans les domaines à forte valeur ajoutée et innovants décrits par la </w:t>
      </w:r>
      <w:r w:rsidR="004930B2" w:rsidRPr="001D7587">
        <w:rPr>
          <w:u w:val="single"/>
        </w:rPr>
        <w:t>S</w:t>
      </w:r>
      <w:r w:rsidRPr="001D7587">
        <w:rPr>
          <w:u w:val="single"/>
        </w:rPr>
        <w:t xml:space="preserve">tratégie </w:t>
      </w:r>
      <w:r w:rsidR="004930B2" w:rsidRPr="001D7587">
        <w:rPr>
          <w:u w:val="single"/>
        </w:rPr>
        <w:t>R</w:t>
      </w:r>
      <w:r w:rsidRPr="001D7587">
        <w:rPr>
          <w:u w:val="single"/>
        </w:rPr>
        <w:t>égionale d’</w:t>
      </w:r>
      <w:r w:rsidR="004930B2" w:rsidRPr="001D7587">
        <w:rPr>
          <w:u w:val="single"/>
        </w:rPr>
        <w:t>I</w:t>
      </w:r>
      <w:r w:rsidRPr="001D7587">
        <w:rPr>
          <w:u w:val="single"/>
        </w:rPr>
        <w:t xml:space="preserve">nnovation </w:t>
      </w:r>
      <w:r w:rsidRPr="001D7587">
        <w:t>– SRI-SI.</w:t>
      </w:r>
      <w:r w:rsidR="004930B2" w:rsidRPr="001D7587">
        <w:t xml:space="preserve"> </w:t>
      </w:r>
    </w:p>
    <w:p w:rsidR="008C75FB" w:rsidRPr="001D7587" w:rsidRDefault="008C75FB" w:rsidP="00A84FFE">
      <w:pPr>
        <w:pStyle w:val="Titre2"/>
        <w:numPr>
          <w:ilvl w:val="0"/>
          <w:numId w:val="20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3" w:name="_Toc417035797"/>
      <w:bookmarkStart w:id="4" w:name="_Toc417040824"/>
      <w:bookmarkStart w:id="5" w:name="_Toc417456606"/>
      <w:bookmarkStart w:id="6" w:name="_Toc424823967"/>
      <w:bookmarkEnd w:id="3"/>
      <w:bookmarkEnd w:id="4"/>
      <w:bookmarkEnd w:id="5"/>
      <w:r w:rsidRPr="001D7587">
        <w:rPr>
          <w:rFonts w:asciiTheme="minorHAnsi" w:hAnsiTheme="minorHAnsi"/>
          <w:color w:val="auto"/>
          <w:sz w:val="22"/>
          <w:szCs w:val="22"/>
        </w:rPr>
        <w:t>Perspectives</w:t>
      </w:r>
      <w:bookmarkEnd w:id="6"/>
    </w:p>
    <w:p w:rsidR="0040110A" w:rsidRPr="001D7587" w:rsidRDefault="0040110A" w:rsidP="002C789B">
      <w:pPr>
        <w:pStyle w:val="Sansinterligne"/>
        <w:jc w:val="both"/>
      </w:pPr>
      <w:r w:rsidRPr="001D7587">
        <w:t>Les objectifs sont les suivants :</w:t>
      </w:r>
    </w:p>
    <w:p w:rsidR="003D2B04" w:rsidRPr="001D7587" w:rsidRDefault="003D2B04" w:rsidP="002C789B">
      <w:pPr>
        <w:pStyle w:val="Sansinterligne"/>
        <w:jc w:val="both"/>
      </w:pPr>
    </w:p>
    <w:p w:rsidR="004930B2" w:rsidRPr="001D7587" w:rsidRDefault="009C38BC" w:rsidP="0040110A">
      <w:pPr>
        <w:pStyle w:val="Sansinterligne"/>
        <w:numPr>
          <w:ilvl w:val="0"/>
          <w:numId w:val="38"/>
        </w:numPr>
        <w:jc w:val="both"/>
      </w:pPr>
      <w:r w:rsidRPr="001D7587">
        <w:t xml:space="preserve">Soutenir la création/ le développement/ la reprise de </w:t>
      </w:r>
      <w:r w:rsidR="004930B2" w:rsidRPr="001D7587">
        <w:t>TPE/</w:t>
      </w:r>
      <w:r w:rsidRPr="001D7587">
        <w:t>PME</w:t>
      </w:r>
      <w:r w:rsidR="00C40D79" w:rsidRPr="001D7587">
        <w:t xml:space="preserve"> </w:t>
      </w:r>
      <w:r w:rsidR="00E44D00" w:rsidRPr="001D7587">
        <w:t>pour</w:t>
      </w:r>
      <w:r w:rsidR="00C40D79" w:rsidRPr="001D7587">
        <w:t xml:space="preserve"> leur</w:t>
      </w:r>
      <w:r w:rsidR="00E44D00" w:rsidRPr="001D7587">
        <w:t xml:space="preserve"> permettre</w:t>
      </w:r>
      <w:r w:rsidR="00C40D79" w:rsidRPr="001D7587">
        <w:t xml:space="preserve"> </w:t>
      </w:r>
      <w:r w:rsidR="00E44D00" w:rsidRPr="001D7587">
        <w:t>d’</w:t>
      </w:r>
      <w:r w:rsidR="00C40D79" w:rsidRPr="001D7587">
        <w:t>atteindre la taille critique par des investissements adaptés pour promouvoir leur production de valeur ajoutée et leur fai</w:t>
      </w:r>
      <w:r w:rsidR="00E44D00" w:rsidRPr="001D7587">
        <w:t>re</w:t>
      </w:r>
      <w:r w:rsidR="00C40D79" w:rsidRPr="001D7587">
        <w:t xml:space="preserve"> accéder à de nouveaux marchés concurrentiels ;</w:t>
      </w:r>
    </w:p>
    <w:p w:rsidR="0040110A" w:rsidRPr="001D7587" w:rsidRDefault="0040110A" w:rsidP="009C38BC">
      <w:pPr>
        <w:pStyle w:val="Sansinterligne"/>
        <w:jc w:val="both"/>
      </w:pPr>
    </w:p>
    <w:p w:rsidR="00C40D79" w:rsidRPr="001D7587" w:rsidRDefault="00C40D79" w:rsidP="0040110A">
      <w:pPr>
        <w:pStyle w:val="Sansinterligne"/>
        <w:numPr>
          <w:ilvl w:val="0"/>
          <w:numId w:val="38"/>
        </w:numPr>
        <w:jc w:val="both"/>
      </w:pPr>
      <w:r w:rsidRPr="001D7587">
        <w:t>Augmenter l’emploi salarié et la compétitivité.</w:t>
      </w:r>
    </w:p>
    <w:p w:rsidR="001752FA" w:rsidRPr="001D7587" w:rsidRDefault="001752FA" w:rsidP="004A0F16">
      <w:pPr>
        <w:pStyle w:val="Sansinterligne"/>
        <w:rPr>
          <w:b/>
        </w:rPr>
      </w:pPr>
    </w:p>
    <w:p w:rsidR="004A0F16" w:rsidRPr="001D7587" w:rsidRDefault="004A0F16" w:rsidP="004A0F16">
      <w:pPr>
        <w:pStyle w:val="Sansinterligne"/>
        <w:rPr>
          <w:b/>
        </w:rPr>
      </w:pPr>
    </w:p>
    <w:p w:rsidR="008C75FB" w:rsidRPr="001D7587" w:rsidRDefault="00435E2E" w:rsidP="00334F1E">
      <w:pPr>
        <w:pStyle w:val="Titre10"/>
        <w:numPr>
          <w:ilvl w:val="0"/>
          <w:numId w:val="19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7" w:name="_Toc424823968"/>
      <w:r w:rsidRPr="001D7587">
        <w:rPr>
          <w:rFonts w:asciiTheme="minorHAnsi" w:hAnsiTheme="minorHAnsi"/>
          <w:b/>
          <w:color w:val="auto"/>
          <w:sz w:val="22"/>
          <w:szCs w:val="22"/>
        </w:rPr>
        <w:t>Objectifs et nature de l’Appel à Manifestation d’I</w:t>
      </w:r>
      <w:r w:rsidR="008C75FB" w:rsidRPr="001D7587">
        <w:rPr>
          <w:rFonts w:asciiTheme="minorHAnsi" w:hAnsiTheme="minorHAnsi"/>
          <w:b/>
          <w:color w:val="auto"/>
          <w:sz w:val="22"/>
          <w:szCs w:val="22"/>
        </w:rPr>
        <w:t>ntérêt</w:t>
      </w:r>
      <w:bookmarkEnd w:id="7"/>
    </w:p>
    <w:p w:rsidR="004A2847" w:rsidRPr="001D7587" w:rsidRDefault="008C75FB" w:rsidP="00510D52">
      <w:pPr>
        <w:jc w:val="both"/>
      </w:pPr>
      <w:r w:rsidRPr="001D7587">
        <w:t xml:space="preserve">Le présent Appel à </w:t>
      </w:r>
      <w:r w:rsidR="00541A26" w:rsidRPr="001D7587">
        <w:t>M</w:t>
      </w:r>
      <w:r w:rsidRPr="001D7587">
        <w:t xml:space="preserve">anifestation d’Intérêt vise de manière générale </w:t>
      </w:r>
      <w:r w:rsidR="00A07418" w:rsidRPr="001D7587">
        <w:t xml:space="preserve">l’émergence et l’accompagnement </w:t>
      </w:r>
      <w:r w:rsidR="008B4E94" w:rsidRPr="001D7587">
        <w:t>des projets d’entreprises</w:t>
      </w:r>
      <w:r w:rsidR="004930B2" w:rsidRPr="001D7587">
        <w:t xml:space="preserve"> </w:t>
      </w:r>
      <w:r w:rsidRPr="001D7587">
        <w:t xml:space="preserve">par le biais </w:t>
      </w:r>
      <w:r w:rsidR="00547226" w:rsidRPr="001D7587">
        <w:t>de consultations</w:t>
      </w:r>
      <w:r w:rsidRPr="001D7587">
        <w:t xml:space="preserve"> ciblé</w:t>
      </w:r>
      <w:r w:rsidR="00547226" w:rsidRPr="001D7587">
        <w:t>es</w:t>
      </w:r>
      <w:r w:rsidRPr="001D7587">
        <w:t xml:space="preserve"> conformément aux orientations définies dans le PO FEDER- FSE 2014-2020.</w:t>
      </w:r>
      <w:r w:rsidR="009C38BC" w:rsidRPr="001D7587">
        <w:t xml:space="preserve"> </w:t>
      </w:r>
      <w:r w:rsidR="004A2847" w:rsidRPr="001D7587">
        <w:t>Le montant de l’enveloppe FEDER dédié</w:t>
      </w:r>
      <w:r w:rsidR="00877860" w:rsidRPr="001D7587">
        <w:t>e</w:t>
      </w:r>
      <w:r w:rsidR="00910E60" w:rsidRPr="001D7587">
        <w:t xml:space="preserve"> à </w:t>
      </w:r>
      <w:r w:rsidR="004930B2" w:rsidRPr="001D7587">
        <w:t xml:space="preserve">ce premier AMI </w:t>
      </w:r>
      <w:r w:rsidR="00DB2EEE" w:rsidRPr="001D7587">
        <w:t>« aides aux entreprises »</w:t>
      </w:r>
      <w:r w:rsidR="005834F4" w:rsidRPr="001D7587">
        <w:t xml:space="preserve"> est</w:t>
      </w:r>
      <w:r w:rsidR="004930B2" w:rsidRPr="001D7587">
        <w:t xml:space="preserve"> </w:t>
      </w:r>
      <w:r w:rsidR="00783776" w:rsidRPr="001D7587">
        <w:t>estimé</w:t>
      </w:r>
      <w:r w:rsidR="00D61949" w:rsidRPr="001D7587">
        <w:t xml:space="preserve"> à</w:t>
      </w:r>
      <w:r w:rsidR="009C38BC" w:rsidRPr="001D7587">
        <w:t xml:space="preserve"> </w:t>
      </w:r>
      <w:r w:rsidR="00C5214A" w:rsidRPr="001D7587">
        <w:t>5</w:t>
      </w:r>
      <w:r w:rsidR="009C38BC" w:rsidRPr="001D7587">
        <w:t xml:space="preserve"> </w:t>
      </w:r>
      <w:r w:rsidR="004A2847" w:rsidRPr="001D7587">
        <w:t>millions d’euros.</w:t>
      </w:r>
    </w:p>
    <w:p w:rsidR="008C75FB" w:rsidRPr="001D7587" w:rsidRDefault="008C75FB" w:rsidP="003B76BD">
      <w:pPr>
        <w:jc w:val="both"/>
      </w:pPr>
      <w:r w:rsidRPr="001D7587">
        <w:t>Il s’agit d</w:t>
      </w:r>
      <w:r w:rsidR="00A07418" w:rsidRPr="001D7587">
        <w:t>’encourager les</w:t>
      </w:r>
      <w:r w:rsidR="004930B2" w:rsidRPr="001D7587">
        <w:t xml:space="preserve"> </w:t>
      </w:r>
      <w:r w:rsidRPr="001D7587">
        <w:t>initiatives privées concourant au dé</w:t>
      </w:r>
      <w:r w:rsidR="004F2D1B" w:rsidRPr="001D7587">
        <w:t>veloppement de nouvelles activités</w:t>
      </w:r>
      <w:r w:rsidRPr="001D7587">
        <w:t>, innovante</w:t>
      </w:r>
      <w:r w:rsidR="004F2D1B" w:rsidRPr="001D7587">
        <w:t>s</w:t>
      </w:r>
      <w:r w:rsidRPr="001D7587">
        <w:t>, susceptible</w:t>
      </w:r>
      <w:r w:rsidR="004930B2" w:rsidRPr="001D7587">
        <w:t>s</w:t>
      </w:r>
      <w:r w:rsidRPr="001D7587">
        <w:t xml:space="preserve"> de </w:t>
      </w:r>
      <w:r w:rsidR="003B76BD" w:rsidRPr="001D7587">
        <w:t>valoriser le potentiel du territoire et présentant des perspe</w:t>
      </w:r>
      <w:r w:rsidR="009C38BC" w:rsidRPr="001D7587">
        <w:t>ctives de croissance importante énoncée</w:t>
      </w:r>
      <w:r w:rsidR="003B76BD" w:rsidRPr="001D7587">
        <w:t xml:space="preserve"> par la SRI-SI et notamment : </w:t>
      </w:r>
    </w:p>
    <w:p w:rsidR="003B76BD" w:rsidRPr="001D7587" w:rsidRDefault="003B76BD" w:rsidP="003D2B04">
      <w:pPr>
        <w:spacing w:after="0"/>
        <w:jc w:val="both"/>
      </w:pPr>
      <w:r w:rsidRPr="001D7587">
        <w:t>Les activités minières et extractives</w:t>
      </w:r>
    </w:p>
    <w:p w:rsidR="003B76BD" w:rsidRPr="001D7587" w:rsidRDefault="003B76BD" w:rsidP="003D2B04">
      <w:pPr>
        <w:spacing w:after="0"/>
        <w:jc w:val="both"/>
      </w:pPr>
      <w:r w:rsidRPr="001D7587">
        <w:t>La première et deuxième transformation du bois</w:t>
      </w:r>
    </w:p>
    <w:p w:rsidR="003B76BD" w:rsidRPr="001D7587" w:rsidRDefault="003B76BD" w:rsidP="003D2B04">
      <w:pPr>
        <w:spacing w:after="0"/>
        <w:jc w:val="both"/>
      </w:pPr>
      <w:r w:rsidRPr="001D7587">
        <w:t>La transformation des produits de l’agriculture et de la pêche (industries agro-alimentaires</w:t>
      </w:r>
      <w:r w:rsidR="00203967" w:rsidRPr="001D7587">
        <w:t>)</w:t>
      </w:r>
    </w:p>
    <w:p w:rsidR="003B76BD" w:rsidRPr="001D7587" w:rsidRDefault="003B76BD" w:rsidP="003D2B04">
      <w:pPr>
        <w:spacing w:after="0"/>
        <w:jc w:val="both"/>
      </w:pPr>
      <w:r w:rsidRPr="001D7587">
        <w:t>Le secteur des TIC</w:t>
      </w:r>
    </w:p>
    <w:p w:rsidR="003B76BD" w:rsidRPr="001D7587" w:rsidRDefault="003B76BD" w:rsidP="003D2B04">
      <w:pPr>
        <w:spacing w:after="0"/>
        <w:jc w:val="both"/>
      </w:pPr>
      <w:r w:rsidRPr="001D7587">
        <w:t>Les énergies renouvelables</w:t>
      </w:r>
    </w:p>
    <w:p w:rsidR="003B76BD" w:rsidRPr="001D7587" w:rsidRDefault="003B76BD" w:rsidP="003D2B04">
      <w:pPr>
        <w:spacing w:after="0"/>
        <w:jc w:val="both"/>
      </w:pPr>
      <w:r w:rsidRPr="001D7587">
        <w:t>La substitution à l’import à coût équivalent ou moindre</w:t>
      </w:r>
    </w:p>
    <w:p w:rsidR="003B76BD" w:rsidRPr="001D7587" w:rsidRDefault="003B76BD" w:rsidP="003D2B04">
      <w:pPr>
        <w:spacing w:after="0"/>
        <w:jc w:val="both"/>
      </w:pPr>
      <w:r w:rsidRPr="001D7587">
        <w:t>L’éco-construction</w:t>
      </w:r>
    </w:p>
    <w:p w:rsidR="00FF44A3" w:rsidRPr="001D7587" w:rsidRDefault="00FF44A3" w:rsidP="003D2B04">
      <w:pPr>
        <w:spacing w:after="0"/>
        <w:jc w:val="both"/>
      </w:pPr>
    </w:p>
    <w:p w:rsidR="00A80676" w:rsidRPr="001D7587" w:rsidRDefault="008C75FB" w:rsidP="00A80676">
      <w:pPr>
        <w:jc w:val="both"/>
      </w:pPr>
      <w:r w:rsidRPr="001D7587">
        <w:t xml:space="preserve">Les projets retenus devront </w:t>
      </w:r>
      <w:r w:rsidR="00624F91" w:rsidRPr="001D7587">
        <w:t>contribuer au dynamisme économique du territoire</w:t>
      </w:r>
      <w:r w:rsidR="00435E2E" w:rsidRPr="001D7587">
        <w:t>.  Les enjeux de cet A</w:t>
      </w:r>
      <w:r w:rsidR="00A80676" w:rsidRPr="001D7587">
        <w:t xml:space="preserve">ppel à </w:t>
      </w:r>
      <w:r w:rsidR="00435E2E" w:rsidRPr="001D7587">
        <w:t>Manifestation d’I</w:t>
      </w:r>
      <w:r w:rsidR="00A80676" w:rsidRPr="001D7587">
        <w:t>ntérêt sont donc :</w:t>
      </w:r>
    </w:p>
    <w:p w:rsidR="00813CF1" w:rsidRPr="001D7587" w:rsidRDefault="004930B2" w:rsidP="00813CF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D7587">
        <w:t xml:space="preserve">Accroître la </w:t>
      </w:r>
      <w:r w:rsidR="00813CF1" w:rsidRPr="001D7587">
        <w:t>compétitivité</w:t>
      </w:r>
      <w:r w:rsidR="00FF44A3" w:rsidRPr="001D7587">
        <w:t xml:space="preserve"> favorisant l’emploi</w:t>
      </w:r>
      <w:r w:rsidRPr="001D7587">
        <w:t xml:space="preserve"> et l</w:t>
      </w:r>
      <w:r w:rsidR="00813CF1" w:rsidRPr="001D7587">
        <w:t>'innovation permettant aux entreprises des filières prioritaires d'améliorer leurs équipements pour qu'ils soient plus performants,</w:t>
      </w:r>
    </w:p>
    <w:p w:rsidR="00813CF1" w:rsidRPr="001D7587" w:rsidRDefault="004930B2" w:rsidP="00813CF1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D7587">
        <w:t xml:space="preserve">Encourager </w:t>
      </w:r>
      <w:r w:rsidR="00813CF1" w:rsidRPr="001D7587">
        <w:t xml:space="preserve">les investissements permettant la transition énergétique pour aider les entreprises à </w:t>
      </w:r>
      <w:r w:rsidRPr="001D7587">
        <w:t xml:space="preserve">optimiser </w:t>
      </w:r>
      <w:r w:rsidR="00813CF1" w:rsidRPr="001D7587">
        <w:t>leurs consommations énergétiques</w:t>
      </w:r>
      <w:r w:rsidRPr="001D7587">
        <w:t>.</w:t>
      </w:r>
    </w:p>
    <w:p w:rsidR="00B8522F" w:rsidRPr="001D7587" w:rsidRDefault="00B8522F" w:rsidP="002C789B">
      <w:pPr>
        <w:pStyle w:val="Sansinterligne"/>
        <w:jc w:val="both"/>
      </w:pPr>
      <w:r w:rsidRPr="001D7587">
        <w:lastRenderedPageBreak/>
        <w:t>La sélection d’un projet dans le cadre de cet AMI permet</w:t>
      </w:r>
      <w:r w:rsidR="00541A26" w:rsidRPr="001D7587">
        <w:t>tra</w:t>
      </w:r>
      <w:r w:rsidR="004930B2" w:rsidRPr="001D7587">
        <w:t xml:space="preserve"> </w:t>
      </w:r>
      <w:r w:rsidR="00305BA6" w:rsidRPr="001D7587">
        <w:t>au porteur de projet</w:t>
      </w:r>
      <w:r w:rsidRPr="001D7587">
        <w:t xml:space="preserve"> de bénéficier </w:t>
      </w:r>
      <w:r w:rsidR="00B0117F" w:rsidRPr="001D7587">
        <w:t>d’</w:t>
      </w:r>
      <w:r w:rsidRPr="001D7587">
        <w:t>appuis</w:t>
      </w:r>
      <w:r w:rsidR="00B0117F" w:rsidRPr="001D7587">
        <w:t xml:space="preserve"> financiers</w:t>
      </w:r>
      <w:r w:rsidR="007E4FB1" w:rsidRPr="001D7587">
        <w:t>. Toutefois,</w:t>
      </w:r>
      <w:r w:rsidRPr="001D7587">
        <w:t xml:space="preserve"> il</w:t>
      </w:r>
      <w:r w:rsidR="009C38BC" w:rsidRPr="001D7587">
        <w:t xml:space="preserve"> lui</w:t>
      </w:r>
      <w:r w:rsidRPr="001D7587">
        <w:t xml:space="preserve"> appartiendra </w:t>
      </w:r>
      <w:r w:rsidR="007E4FB1" w:rsidRPr="001D7587">
        <w:t>de faire</w:t>
      </w:r>
      <w:r w:rsidR="004930B2" w:rsidRPr="001D7587">
        <w:t xml:space="preserve"> </w:t>
      </w:r>
      <w:r w:rsidRPr="001D7587">
        <w:t>aboutir toutes les autres démarches administratives.</w:t>
      </w:r>
    </w:p>
    <w:p w:rsidR="00C5214A" w:rsidRPr="001D7587" w:rsidRDefault="00C5214A" w:rsidP="002C789B">
      <w:pPr>
        <w:pStyle w:val="Sansinterligne"/>
        <w:jc w:val="both"/>
      </w:pPr>
    </w:p>
    <w:p w:rsidR="00C5214A" w:rsidRPr="001D7587" w:rsidRDefault="00C5214A" w:rsidP="002C789B">
      <w:pPr>
        <w:pStyle w:val="Sansinterligne"/>
        <w:jc w:val="both"/>
      </w:pPr>
      <w:r w:rsidRPr="001D7587">
        <w:t>Le</w:t>
      </w:r>
      <w:r w:rsidR="004930B2" w:rsidRPr="001D7587">
        <w:t xml:space="preserve"> porteur dispose d’un délai de 1</w:t>
      </w:r>
      <w:r w:rsidRPr="001D7587">
        <w:t xml:space="preserve"> an pour déposer son do</w:t>
      </w:r>
      <w:r w:rsidR="00CB7D85" w:rsidRPr="001D7587">
        <w:t xml:space="preserve">ssier de demande d’aide complet, le cas échéant le bénéfice de la sélection au titre de l’appel à manifestation d’intérêt </w:t>
      </w:r>
      <w:r w:rsidR="00EE7C4C" w:rsidRPr="001D7587">
        <w:t>et la réservation de crédits seront</w:t>
      </w:r>
      <w:r w:rsidR="00CB7D85" w:rsidRPr="001D7587">
        <w:t xml:space="preserve"> perdu</w:t>
      </w:r>
      <w:r w:rsidR="00EE7C4C" w:rsidRPr="001D7587">
        <w:t>s</w:t>
      </w:r>
      <w:r w:rsidR="00CB7D85" w:rsidRPr="001D7587">
        <w:t>.</w:t>
      </w:r>
    </w:p>
    <w:p w:rsidR="000E63D3" w:rsidRPr="001D7587" w:rsidRDefault="000E63D3" w:rsidP="004A0F16">
      <w:pPr>
        <w:pStyle w:val="Sansinterligne"/>
      </w:pPr>
    </w:p>
    <w:p w:rsidR="004A0F16" w:rsidRPr="001D7587" w:rsidRDefault="004A0F16" w:rsidP="004A0F16">
      <w:pPr>
        <w:pStyle w:val="Sansinterligne"/>
      </w:pPr>
    </w:p>
    <w:p w:rsidR="004B51A7" w:rsidRPr="001D7587" w:rsidRDefault="000E63D3" w:rsidP="00E44D00">
      <w:pPr>
        <w:pStyle w:val="Titre10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bookmarkStart w:id="8" w:name="_Toc424823969"/>
      <w:r w:rsidRPr="001D7587">
        <w:rPr>
          <w:rFonts w:asciiTheme="minorHAnsi" w:hAnsiTheme="minorHAnsi"/>
          <w:b/>
          <w:color w:val="auto"/>
          <w:sz w:val="22"/>
          <w:szCs w:val="22"/>
        </w:rPr>
        <w:t>Conditions d’éligibilité du projet</w:t>
      </w:r>
      <w:bookmarkEnd w:id="8"/>
    </w:p>
    <w:p w:rsidR="000E63D3" w:rsidRPr="001D7587" w:rsidRDefault="000E63D3" w:rsidP="00A84FFE">
      <w:pPr>
        <w:pStyle w:val="Titre2"/>
        <w:numPr>
          <w:ilvl w:val="0"/>
          <w:numId w:val="23"/>
        </w:numPr>
        <w:ind w:left="1418"/>
        <w:rPr>
          <w:rFonts w:asciiTheme="minorHAnsi" w:hAnsiTheme="minorHAnsi"/>
          <w:sz w:val="22"/>
          <w:szCs w:val="22"/>
        </w:rPr>
      </w:pPr>
      <w:bookmarkStart w:id="9" w:name="_Toc424823970"/>
      <w:r w:rsidRPr="001D7587">
        <w:rPr>
          <w:rFonts w:asciiTheme="minorHAnsi" w:hAnsiTheme="minorHAnsi"/>
          <w:color w:val="auto"/>
          <w:sz w:val="22"/>
          <w:szCs w:val="22"/>
        </w:rPr>
        <w:t>Territoires éligibles</w:t>
      </w:r>
      <w:bookmarkEnd w:id="9"/>
    </w:p>
    <w:p w:rsidR="000E63D3" w:rsidRPr="001D7587" w:rsidRDefault="000E63D3" w:rsidP="000E63D3">
      <w:pPr>
        <w:jc w:val="both"/>
      </w:pPr>
      <w:r w:rsidRPr="001D7587">
        <w:t xml:space="preserve">Tout le territoire guyanais en favorisant les </w:t>
      </w:r>
      <w:r w:rsidR="004930B2" w:rsidRPr="001D7587">
        <w:t xml:space="preserve">zones géographiques </w:t>
      </w:r>
      <w:r w:rsidRPr="001D7587">
        <w:t>les moins équipé</w:t>
      </w:r>
      <w:r w:rsidR="007E4FB1" w:rsidRPr="001D7587">
        <w:t>e</w:t>
      </w:r>
      <w:r w:rsidRPr="001D7587">
        <w:t xml:space="preserve">s ou présentant </w:t>
      </w:r>
      <w:r w:rsidR="004930B2" w:rsidRPr="001D7587">
        <w:t>des carences dans l’</w:t>
      </w:r>
      <w:r w:rsidRPr="001D7587">
        <w:t xml:space="preserve">offre de </w:t>
      </w:r>
      <w:r w:rsidR="004930B2" w:rsidRPr="001D7587">
        <w:t xml:space="preserve">biens et </w:t>
      </w:r>
      <w:r w:rsidRPr="001D7587">
        <w:t>service</w:t>
      </w:r>
      <w:r w:rsidR="004930B2" w:rsidRPr="001D7587">
        <w:t>s</w:t>
      </w:r>
      <w:r w:rsidR="00510D52" w:rsidRPr="001D7587">
        <w:t>.</w:t>
      </w:r>
    </w:p>
    <w:p w:rsidR="000E63D3" w:rsidRPr="001D7587" w:rsidRDefault="000E63D3" w:rsidP="00A84FFE">
      <w:pPr>
        <w:pStyle w:val="Titre2"/>
        <w:numPr>
          <w:ilvl w:val="0"/>
          <w:numId w:val="23"/>
        </w:numPr>
        <w:ind w:left="1418"/>
        <w:rPr>
          <w:rFonts w:asciiTheme="minorHAnsi" w:hAnsiTheme="minorHAnsi"/>
          <w:sz w:val="22"/>
          <w:szCs w:val="22"/>
        </w:rPr>
      </w:pPr>
      <w:bookmarkStart w:id="10" w:name="_Toc424823971"/>
      <w:r w:rsidRPr="001D7587">
        <w:rPr>
          <w:rFonts w:asciiTheme="minorHAnsi" w:hAnsiTheme="minorHAnsi"/>
          <w:color w:val="auto"/>
          <w:sz w:val="22"/>
          <w:szCs w:val="22"/>
        </w:rPr>
        <w:t>Bénéficiaires éligibles</w:t>
      </w:r>
      <w:bookmarkEnd w:id="10"/>
    </w:p>
    <w:p w:rsidR="00566D5F" w:rsidRPr="001D7587" w:rsidRDefault="00566D5F" w:rsidP="00566D5F">
      <w:pPr>
        <w:pStyle w:val="Paragraphedeliste"/>
        <w:numPr>
          <w:ilvl w:val="0"/>
          <w:numId w:val="41"/>
        </w:numPr>
        <w:spacing w:after="0"/>
        <w:jc w:val="both"/>
      </w:pPr>
      <w:r w:rsidRPr="001D7587">
        <w:t>Entreprises à caractère industriel ; entreprises de service aux entreprises ; entreprises de construction générale et de construction spécialisée pour les bâtiments et le génie civil, sous réserve qu’elles soient indépendantes d’une grande entreprise</w:t>
      </w:r>
    </w:p>
    <w:p w:rsidR="00566D5F" w:rsidRPr="001D7587" w:rsidRDefault="00566D5F" w:rsidP="00566D5F">
      <w:pPr>
        <w:pStyle w:val="Paragraphedeliste"/>
        <w:numPr>
          <w:ilvl w:val="0"/>
          <w:numId w:val="41"/>
        </w:numPr>
        <w:spacing w:after="0"/>
        <w:jc w:val="both"/>
      </w:pPr>
      <w:r w:rsidRPr="001D7587">
        <w:t>Entreprises à caractère artisanal, commercial et des services de proximité</w:t>
      </w:r>
    </w:p>
    <w:p w:rsidR="00566D5F" w:rsidRPr="001D7587" w:rsidRDefault="00566D5F" w:rsidP="00566D5F">
      <w:pPr>
        <w:pStyle w:val="Paragraphedeliste"/>
        <w:numPr>
          <w:ilvl w:val="0"/>
          <w:numId w:val="41"/>
        </w:numPr>
        <w:spacing w:after="0"/>
        <w:jc w:val="both"/>
      </w:pPr>
      <w:r w:rsidRPr="001D7587">
        <w:t>Associations statutairement habilitées à porter des actions à caractère économique</w:t>
      </w:r>
    </w:p>
    <w:p w:rsidR="00566D5F" w:rsidRPr="001D7587" w:rsidRDefault="00566D5F" w:rsidP="00566D5F">
      <w:pPr>
        <w:pStyle w:val="Paragraphedeliste"/>
        <w:numPr>
          <w:ilvl w:val="0"/>
          <w:numId w:val="41"/>
        </w:numPr>
        <w:spacing w:after="0"/>
        <w:jc w:val="both"/>
      </w:pPr>
      <w:r w:rsidRPr="001D7587">
        <w:t>Groupements d’entreprises</w:t>
      </w:r>
    </w:p>
    <w:p w:rsidR="00566D5F" w:rsidRPr="001D7587" w:rsidRDefault="00566D5F" w:rsidP="007E4FB1">
      <w:pPr>
        <w:spacing w:after="0"/>
        <w:jc w:val="both"/>
      </w:pPr>
    </w:p>
    <w:p w:rsidR="007E4FB1" w:rsidRPr="001D7587" w:rsidRDefault="007E4FB1" w:rsidP="007E4FB1">
      <w:pPr>
        <w:spacing w:after="0"/>
        <w:jc w:val="both"/>
      </w:pPr>
      <w:r w:rsidRPr="001D7587">
        <w:t>Conditions liées à l’entreprise : situation financière saine ; situation fiscale ou sociale régulière au moment du dépôt du dossier; conformité au regard du droit du travail ; entreprise à jour au regard de la réglementation sur les installations classées pour la protection de l’environnement soumises à déclaration ou à autorisation</w:t>
      </w:r>
    </w:p>
    <w:p w:rsidR="0025679C" w:rsidRPr="001D7587" w:rsidRDefault="0025679C" w:rsidP="007E4FB1">
      <w:pPr>
        <w:spacing w:after="0"/>
        <w:jc w:val="both"/>
      </w:pPr>
    </w:p>
    <w:p w:rsidR="000E63D3" w:rsidRPr="001D7587" w:rsidRDefault="000E63D3" w:rsidP="00A84FFE">
      <w:pPr>
        <w:pStyle w:val="Titre2"/>
        <w:numPr>
          <w:ilvl w:val="0"/>
          <w:numId w:val="23"/>
        </w:numPr>
        <w:ind w:left="1418"/>
        <w:rPr>
          <w:rFonts w:asciiTheme="minorHAnsi" w:hAnsiTheme="minorHAnsi"/>
          <w:sz w:val="22"/>
          <w:szCs w:val="22"/>
        </w:rPr>
      </w:pPr>
      <w:bookmarkStart w:id="11" w:name="_Toc424823972"/>
      <w:r w:rsidRPr="001D7587">
        <w:rPr>
          <w:rFonts w:asciiTheme="minorHAnsi" w:hAnsiTheme="minorHAnsi"/>
          <w:color w:val="auto"/>
          <w:sz w:val="22"/>
          <w:szCs w:val="22"/>
        </w:rPr>
        <w:t>Actions éligibles</w:t>
      </w:r>
      <w:bookmarkEnd w:id="11"/>
    </w:p>
    <w:p w:rsidR="000E63D3" w:rsidRPr="001D7587" w:rsidRDefault="000E63D3" w:rsidP="00A84FFE">
      <w:pPr>
        <w:spacing w:after="0"/>
        <w:jc w:val="both"/>
      </w:pPr>
      <w:r w:rsidRPr="001D7587">
        <w:t xml:space="preserve">La candidature du projet devra entrer dans </w:t>
      </w:r>
      <w:r w:rsidR="00FF44A3" w:rsidRPr="001D7587">
        <w:t xml:space="preserve">la </w:t>
      </w:r>
      <w:r w:rsidRPr="001D7587">
        <w:t>thématique suivante :</w:t>
      </w:r>
    </w:p>
    <w:p w:rsidR="00DD0763" w:rsidRPr="001D7587" w:rsidRDefault="00DD0763" w:rsidP="00617E0E">
      <w:pPr>
        <w:spacing w:before="100" w:beforeAutospacing="1" w:after="100" w:afterAutospacing="1" w:line="240" w:lineRule="auto"/>
        <w:jc w:val="both"/>
      </w:pPr>
      <w:r w:rsidRPr="001D7587">
        <w:rPr>
          <w:b/>
        </w:rPr>
        <w:t xml:space="preserve">Projets d'investissements </w:t>
      </w:r>
      <w:r w:rsidR="007E4FB1" w:rsidRPr="001D7587">
        <w:rPr>
          <w:b/>
        </w:rPr>
        <w:t xml:space="preserve">matériels et immatériels </w:t>
      </w:r>
      <w:r w:rsidR="00566D5F" w:rsidRPr="001D7587">
        <w:rPr>
          <w:b/>
        </w:rPr>
        <w:t xml:space="preserve">concourant à </w:t>
      </w:r>
      <w:r w:rsidR="00617E0E" w:rsidRPr="001D7587">
        <w:rPr>
          <w:b/>
        </w:rPr>
        <w:t xml:space="preserve">l’amélioration de la </w:t>
      </w:r>
      <w:r w:rsidR="00566D5F" w:rsidRPr="001D7587">
        <w:rPr>
          <w:b/>
        </w:rPr>
        <w:t xml:space="preserve"> compétitivité du territoire </w:t>
      </w:r>
      <w:r w:rsidRPr="001D7587">
        <w:rPr>
          <w:b/>
        </w:rPr>
        <w:t>(Création/ Développement/ Reprise)</w:t>
      </w:r>
      <w:r w:rsidRPr="001D7587">
        <w:t xml:space="preserve"> </w:t>
      </w:r>
      <w:r w:rsidR="00566D5F" w:rsidRPr="001D7587">
        <w:t>à l’exclusion de la m</w:t>
      </w:r>
      <w:r w:rsidR="00617E0E" w:rsidRPr="001D7587">
        <w:t>ise en conformité règlementaire et</w:t>
      </w:r>
      <w:r w:rsidR="00566D5F" w:rsidRPr="001D7587">
        <w:t xml:space="preserve"> du renouvellement du</w:t>
      </w:r>
      <w:r w:rsidR="00617E0E" w:rsidRPr="001D7587">
        <w:t xml:space="preserve"> matériel.</w:t>
      </w:r>
      <w:r w:rsidRPr="001D7587">
        <w:t xml:space="preserve"> </w:t>
      </w:r>
    </w:p>
    <w:p w:rsidR="00FE7019" w:rsidRPr="001D7587" w:rsidRDefault="000C653E" w:rsidP="00A84FFE">
      <w:pPr>
        <w:jc w:val="both"/>
      </w:pPr>
      <w:r w:rsidRPr="001D7587">
        <w:t>A noter</w:t>
      </w:r>
      <w:r w:rsidR="00FE7019" w:rsidRPr="001D7587">
        <w:t xml:space="preserve"> que ne sont pas éligibles :</w:t>
      </w:r>
    </w:p>
    <w:p w:rsidR="00633F0C" w:rsidRPr="001D7587" w:rsidRDefault="00CD1369" w:rsidP="00FE7019">
      <w:pPr>
        <w:pStyle w:val="Paragraphedeliste"/>
        <w:numPr>
          <w:ilvl w:val="0"/>
          <w:numId w:val="1"/>
        </w:numPr>
        <w:jc w:val="both"/>
      </w:pPr>
      <w:r w:rsidRPr="001D7587">
        <w:t>R</w:t>
      </w:r>
      <w:r w:rsidR="000C653E" w:rsidRPr="001D7587">
        <w:t xml:space="preserve">estauration </w:t>
      </w:r>
    </w:p>
    <w:p w:rsidR="000C653E" w:rsidRPr="001D7587" w:rsidRDefault="00566D5F" w:rsidP="00FE7019">
      <w:pPr>
        <w:pStyle w:val="Paragraphedeliste"/>
        <w:numPr>
          <w:ilvl w:val="0"/>
          <w:numId w:val="1"/>
        </w:numPr>
        <w:jc w:val="both"/>
      </w:pPr>
      <w:r w:rsidRPr="001D7587">
        <w:t>C</w:t>
      </w:r>
      <w:r w:rsidR="00CD1369" w:rsidRPr="001D7587">
        <w:t>ommerces en centre-ville sauf dans les secteurs non représentés</w:t>
      </w:r>
    </w:p>
    <w:p w:rsidR="00CD1369" w:rsidRPr="001D7587" w:rsidRDefault="00566D5F" w:rsidP="00FE7019">
      <w:pPr>
        <w:pStyle w:val="Paragraphedeliste"/>
        <w:numPr>
          <w:ilvl w:val="0"/>
          <w:numId w:val="1"/>
        </w:numPr>
        <w:jc w:val="both"/>
      </w:pPr>
      <w:r w:rsidRPr="001D7587">
        <w:t>Co</w:t>
      </w:r>
      <w:r w:rsidR="00CD1369" w:rsidRPr="001D7587">
        <w:t>mmerces dans les galeries marchandes des centres commerciaux</w:t>
      </w:r>
    </w:p>
    <w:p w:rsidR="00CD1369" w:rsidRPr="001D7587" w:rsidRDefault="00566D5F" w:rsidP="00FE7019">
      <w:pPr>
        <w:pStyle w:val="Paragraphedeliste"/>
        <w:numPr>
          <w:ilvl w:val="0"/>
          <w:numId w:val="1"/>
        </w:numPr>
        <w:jc w:val="both"/>
      </w:pPr>
      <w:r w:rsidRPr="001D7587">
        <w:t>P</w:t>
      </w:r>
      <w:r w:rsidR="00CD1369" w:rsidRPr="001D7587">
        <w:t>rofessions libérales hors des communes enclavées</w:t>
      </w:r>
    </w:p>
    <w:p w:rsidR="00CD1369" w:rsidRPr="001D7587" w:rsidRDefault="00CD1369" w:rsidP="00FE7019">
      <w:pPr>
        <w:pStyle w:val="Paragraphedeliste"/>
        <w:numPr>
          <w:ilvl w:val="0"/>
          <w:numId w:val="1"/>
        </w:numPr>
        <w:jc w:val="both"/>
      </w:pPr>
      <w:r w:rsidRPr="001D7587">
        <w:t>Actions menées par des entreprises agricoles, de production primaire aquacole et de pêche</w:t>
      </w:r>
    </w:p>
    <w:p w:rsidR="00713EFE" w:rsidRPr="001D7587" w:rsidRDefault="00FF44A3" w:rsidP="00713EFE">
      <w:pPr>
        <w:jc w:val="both"/>
      </w:pPr>
      <w:r w:rsidRPr="001D7587">
        <w:t>Aucun projet ayant un coût total inférieur à un seuil de 30 000 euros ne sera pr</w:t>
      </w:r>
      <w:r w:rsidR="003D2B04" w:rsidRPr="001D7587">
        <w:t>i</w:t>
      </w:r>
      <w:r w:rsidRPr="001D7587">
        <w:t xml:space="preserve">s en compte. </w:t>
      </w:r>
    </w:p>
    <w:p w:rsidR="00713EFE" w:rsidRPr="001D7587" w:rsidRDefault="00713EFE" w:rsidP="00713EFE">
      <w:pPr>
        <w:jc w:val="both"/>
      </w:pPr>
    </w:p>
    <w:p w:rsidR="00EC2EF8" w:rsidRPr="001D7587" w:rsidRDefault="00C41715" w:rsidP="00EC2EF8">
      <w:pPr>
        <w:pStyle w:val="Titre2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bookmarkStart w:id="12" w:name="_Toc424823973"/>
      <w:r w:rsidRPr="001D7587">
        <w:rPr>
          <w:rFonts w:asciiTheme="minorHAnsi" w:hAnsiTheme="minorHAnsi"/>
          <w:color w:val="auto"/>
          <w:sz w:val="22"/>
          <w:szCs w:val="22"/>
        </w:rPr>
        <w:t>Exemples dépenses</w:t>
      </w:r>
      <w:r w:rsidR="00EC2EF8" w:rsidRPr="001D7587">
        <w:rPr>
          <w:rFonts w:asciiTheme="minorHAnsi" w:hAnsiTheme="minorHAnsi"/>
          <w:color w:val="auto"/>
          <w:sz w:val="22"/>
          <w:szCs w:val="22"/>
        </w:rPr>
        <w:t xml:space="preserve"> éligibles</w:t>
      </w:r>
      <w:r w:rsidRPr="001D7587">
        <w:rPr>
          <w:rFonts w:asciiTheme="minorHAnsi" w:hAnsiTheme="minorHAnsi"/>
          <w:color w:val="auto"/>
          <w:sz w:val="22"/>
          <w:szCs w:val="22"/>
        </w:rPr>
        <w:t xml:space="preserve"> (</w:t>
      </w:r>
      <w:hyperlink w:anchor="_Annexes" w:history="1">
        <w:r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>cf. projet du décret d’éligibilité pour la période 2014-2020</w:t>
        </w:r>
      </w:hyperlink>
      <w:r w:rsidRPr="001D7587">
        <w:rPr>
          <w:rFonts w:asciiTheme="minorHAnsi" w:hAnsiTheme="minorHAnsi"/>
          <w:color w:val="auto"/>
          <w:sz w:val="22"/>
          <w:szCs w:val="22"/>
        </w:rPr>
        <w:t>)</w:t>
      </w:r>
      <w:bookmarkEnd w:id="12"/>
      <w:r w:rsidR="004C448A" w:rsidRPr="001D7587">
        <w:rPr>
          <w:rStyle w:val="Appelnotedebasdep"/>
          <w:rFonts w:asciiTheme="minorHAnsi" w:hAnsiTheme="minorHAnsi"/>
          <w:sz w:val="22"/>
          <w:szCs w:val="22"/>
        </w:rPr>
        <w:t xml:space="preserve"> </w:t>
      </w:r>
    </w:p>
    <w:p w:rsidR="000E63D3" w:rsidRPr="001D7587" w:rsidRDefault="000E63D3" w:rsidP="00A84FFE">
      <w:pPr>
        <w:spacing w:after="0"/>
        <w:jc w:val="both"/>
      </w:pPr>
      <w:r w:rsidRPr="001D7587">
        <w:t>Dépenses liées au montage, au suivi des dossiers de demande d’aide</w:t>
      </w:r>
    </w:p>
    <w:p w:rsidR="000E63D3" w:rsidRPr="001D7587" w:rsidRDefault="000E63D3" w:rsidP="00A84FFE">
      <w:pPr>
        <w:spacing w:after="0"/>
        <w:jc w:val="both"/>
      </w:pPr>
      <w:r w:rsidRPr="001D7587">
        <w:t>Investissements fonciers (coût de l’achat d’un terrain bâti et non bâti limité à 10% des dépenses totales éligibles de l’opération concernée)</w:t>
      </w:r>
    </w:p>
    <w:p w:rsidR="000E63D3" w:rsidRPr="001D7587" w:rsidRDefault="000E63D3" w:rsidP="00A84FFE">
      <w:pPr>
        <w:spacing w:after="0"/>
        <w:jc w:val="both"/>
      </w:pPr>
      <w:r w:rsidRPr="001D7587">
        <w:lastRenderedPageBreak/>
        <w:t>Investissements matériels</w:t>
      </w:r>
      <w:r w:rsidR="00CD1369" w:rsidRPr="001D7587">
        <w:t xml:space="preserve"> (équipements de production)</w:t>
      </w:r>
      <w:r w:rsidRPr="001D7587">
        <w:t xml:space="preserve"> et immatériels (conseil externe,</w:t>
      </w:r>
      <w:r w:rsidR="00713EFE" w:rsidRPr="001D7587">
        <w:t xml:space="preserve"> étude préala</w:t>
      </w:r>
      <w:r w:rsidR="00617E0E" w:rsidRPr="001D7587">
        <w:t>ble, de marché, de faisabilité,</w:t>
      </w:r>
      <w:r w:rsidRPr="001D7587">
        <w:t xml:space="preserve"> logiciels</w:t>
      </w:r>
      <w:r w:rsidR="005E7122" w:rsidRPr="001D7587">
        <w:t>, frais de communication</w:t>
      </w:r>
      <w:r w:rsidR="00617E0E" w:rsidRPr="001D7587">
        <w:t>,..</w:t>
      </w:r>
      <w:r w:rsidRPr="001D7587">
        <w:t>)</w:t>
      </w:r>
    </w:p>
    <w:p w:rsidR="00CD1369" w:rsidRPr="001D7587" w:rsidRDefault="00CD1369" w:rsidP="00A84FFE">
      <w:pPr>
        <w:spacing w:after="0"/>
        <w:jc w:val="both"/>
      </w:pPr>
      <w:r w:rsidRPr="001D7587">
        <w:t>Frais de formation liés à l’appropriation des nouveaux équipements</w:t>
      </w:r>
    </w:p>
    <w:p w:rsidR="00CD1369" w:rsidRPr="001D7587" w:rsidRDefault="00CD1369" w:rsidP="00A84FFE">
      <w:pPr>
        <w:spacing w:after="0"/>
        <w:jc w:val="both"/>
      </w:pPr>
      <w:r w:rsidRPr="001D7587">
        <w:t xml:space="preserve">Frais de personnel dans le </w:t>
      </w:r>
      <w:r w:rsidR="004C2AD6" w:rsidRPr="001D7587">
        <w:t>cadre des aides à l’emploi</w:t>
      </w:r>
      <w:r w:rsidR="00FF44A3" w:rsidRPr="001D7587">
        <w:t xml:space="preserve"> (cf. principaux régimes d’aides mobilisables</w:t>
      </w:r>
      <w:r w:rsidR="003D2B04" w:rsidRPr="001D7587">
        <w:t xml:space="preserve"> pour l’emploi</w:t>
      </w:r>
      <w:r w:rsidR="00FF44A3" w:rsidRPr="001D7587">
        <w:t xml:space="preserve">  dans la fiche de l’</w:t>
      </w:r>
      <w:hyperlink w:anchor="_Annexes" w:history="1">
        <w:r w:rsidR="00FF44A3" w:rsidRPr="001D7587">
          <w:rPr>
            <w:rStyle w:val="Lienhypertexte"/>
            <w:color w:val="auto"/>
          </w:rPr>
          <w:t>OS3</w:t>
        </w:r>
      </w:hyperlink>
      <w:r w:rsidR="00537F5D" w:rsidRPr="001D7587">
        <w:t xml:space="preserve"> </w:t>
      </w:r>
      <w:r w:rsidR="00FF44A3" w:rsidRPr="001D7587">
        <w:t>du PO FEDER)</w:t>
      </w:r>
    </w:p>
    <w:p w:rsidR="000E63D3" w:rsidRPr="001D7587" w:rsidRDefault="000E63D3" w:rsidP="00A84FFE">
      <w:pPr>
        <w:spacing w:after="0"/>
        <w:jc w:val="both"/>
      </w:pPr>
      <w:r w:rsidRPr="001D7587">
        <w:t>Travaux</w:t>
      </w:r>
      <w:r w:rsidR="00095BBD" w:rsidRPr="001D7587">
        <w:t xml:space="preserve"> de construction,</w:t>
      </w:r>
      <w:r w:rsidRPr="001D7587">
        <w:t xml:space="preserve"> d’aménagement, de réhabilitation et de remise à niveau</w:t>
      </w:r>
    </w:p>
    <w:p w:rsidR="000E63D3" w:rsidRPr="001D7587" w:rsidRDefault="000E63D3" w:rsidP="00A84FFE">
      <w:pPr>
        <w:spacing w:after="0"/>
        <w:jc w:val="both"/>
      </w:pPr>
      <w:r w:rsidRPr="001D7587">
        <w:t>Coûts des contrôles techniques</w:t>
      </w:r>
      <w:r w:rsidR="00CE6114" w:rsidRPr="001D7587">
        <w:t xml:space="preserve"> des équipements du programme lié au projet</w:t>
      </w:r>
    </w:p>
    <w:p w:rsidR="000E63D3" w:rsidRPr="001D7587" w:rsidRDefault="000E63D3" w:rsidP="00A84FFE">
      <w:pPr>
        <w:spacing w:after="0"/>
        <w:jc w:val="both"/>
      </w:pPr>
      <w:r w:rsidRPr="001D7587">
        <w:t>Construction d’infrastructures connexes à la réalisation du projet</w:t>
      </w:r>
    </w:p>
    <w:p w:rsidR="000E63D3" w:rsidRPr="001D7587" w:rsidRDefault="000E63D3" w:rsidP="00A84FFE">
      <w:pPr>
        <w:spacing w:after="0"/>
        <w:jc w:val="both"/>
      </w:pPr>
      <w:r w:rsidRPr="001D7587">
        <w:t>Frais induits par l’obligation d’assurer la publicité du cofinancement communautaire du projet</w:t>
      </w:r>
    </w:p>
    <w:p w:rsidR="000E63D3" w:rsidRPr="001D7587" w:rsidRDefault="000E63D3" w:rsidP="00A84FFE">
      <w:pPr>
        <w:spacing w:after="0"/>
        <w:jc w:val="both"/>
      </w:pPr>
    </w:p>
    <w:p w:rsidR="000E63D3" w:rsidRPr="001D7587" w:rsidRDefault="000E63D3" w:rsidP="00EC2EF8">
      <w:pPr>
        <w:pStyle w:val="Titre2"/>
        <w:numPr>
          <w:ilvl w:val="0"/>
          <w:numId w:val="23"/>
        </w:numPr>
        <w:rPr>
          <w:rFonts w:asciiTheme="minorHAnsi" w:hAnsiTheme="minorHAnsi"/>
          <w:color w:val="auto"/>
          <w:sz w:val="22"/>
          <w:szCs w:val="22"/>
        </w:rPr>
      </w:pPr>
      <w:bookmarkStart w:id="13" w:name="_Toc424823974"/>
      <w:r w:rsidRPr="001D7587">
        <w:rPr>
          <w:rFonts w:asciiTheme="minorHAnsi" w:hAnsiTheme="minorHAnsi"/>
          <w:color w:val="auto"/>
          <w:sz w:val="22"/>
          <w:szCs w:val="22"/>
        </w:rPr>
        <w:t>Dépenses inéligibles</w:t>
      </w:r>
      <w:r w:rsidR="00CE6114" w:rsidRPr="001D7587">
        <w:rPr>
          <w:rFonts w:asciiTheme="minorHAnsi" w:hAnsiTheme="minorHAnsi"/>
          <w:color w:val="auto"/>
          <w:sz w:val="22"/>
          <w:szCs w:val="22"/>
        </w:rPr>
        <w:t xml:space="preserve"> (</w:t>
      </w:r>
      <w:hyperlink w:anchor="_Annexes" w:history="1">
        <w:r w:rsidR="00CE6114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cf. </w:t>
        </w:r>
        <w:r w:rsidR="00284FD8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projet </w:t>
        </w:r>
        <w:r w:rsidR="00EC2EF8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du </w:t>
        </w:r>
        <w:r w:rsidR="00CE6114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>décret</w:t>
        </w:r>
        <w:r w:rsidR="00284FD8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 xml:space="preserve"> d’éligibilité pour la période 2014-</w:t>
        </w:r>
        <w:r w:rsidR="00594BA7" w:rsidRPr="001D7587">
          <w:rPr>
            <w:rStyle w:val="Lienhypertexte"/>
            <w:rFonts w:asciiTheme="minorHAnsi" w:hAnsiTheme="minorHAnsi"/>
            <w:color w:val="auto"/>
            <w:sz w:val="22"/>
            <w:szCs w:val="22"/>
          </w:rPr>
          <w:t>2020</w:t>
        </w:r>
      </w:hyperlink>
      <w:r w:rsidR="00CE6114" w:rsidRPr="001D7587">
        <w:rPr>
          <w:rFonts w:asciiTheme="minorHAnsi" w:hAnsiTheme="minorHAnsi"/>
          <w:color w:val="auto"/>
          <w:sz w:val="22"/>
          <w:szCs w:val="22"/>
        </w:rPr>
        <w:t>)</w:t>
      </w:r>
      <w:bookmarkEnd w:id="13"/>
    </w:p>
    <w:p w:rsidR="000E63D3" w:rsidRPr="001D7587" w:rsidRDefault="000E63D3" w:rsidP="00CE6114">
      <w:pPr>
        <w:pStyle w:val="Paragraphedeliste"/>
        <w:numPr>
          <w:ilvl w:val="0"/>
          <w:numId w:val="1"/>
        </w:numPr>
        <w:spacing w:after="0"/>
        <w:jc w:val="both"/>
      </w:pPr>
      <w:r w:rsidRPr="001D7587">
        <w:t xml:space="preserve">Acquisition de fonds de commerce </w:t>
      </w:r>
    </w:p>
    <w:p w:rsidR="00CE6114" w:rsidRPr="001D7587" w:rsidRDefault="00284FD8" w:rsidP="00CE6114">
      <w:pPr>
        <w:pStyle w:val="Paragraphedeliste"/>
        <w:numPr>
          <w:ilvl w:val="0"/>
          <w:numId w:val="1"/>
        </w:numPr>
        <w:spacing w:after="0"/>
        <w:jc w:val="both"/>
      </w:pPr>
      <w:r w:rsidRPr="001D7587">
        <w:t xml:space="preserve">Frais débiteurs, agios, et </w:t>
      </w:r>
      <w:r w:rsidR="0085227C" w:rsidRPr="001D7587">
        <w:t>autres frais financiers</w:t>
      </w:r>
    </w:p>
    <w:p w:rsidR="00CE6114" w:rsidRPr="001D7587" w:rsidRDefault="00CE6114" w:rsidP="0085227C">
      <w:pPr>
        <w:spacing w:after="0"/>
        <w:ind w:left="360"/>
        <w:jc w:val="both"/>
      </w:pPr>
    </w:p>
    <w:p w:rsidR="000E63D3" w:rsidRPr="001D7587" w:rsidRDefault="000E63D3" w:rsidP="00A84FFE">
      <w:pPr>
        <w:spacing w:after="0"/>
        <w:jc w:val="both"/>
      </w:pPr>
    </w:p>
    <w:p w:rsidR="000679AB" w:rsidRPr="001D7587" w:rsidRDefault="000679AB" w:rsidP="000679AB">
      <w:pPr>
        <w:pStyle w:val="Titre10"/>
        <w:numPr>
          <w:ilvl w:val="0"/>
          <w:numId w:val="19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14" w:name="_Toc424823975"/>
      <w:r w:rsidRPr="001D7587">
        <w:rPr>
          <w:rFonts w:asciiTheme="minorHAnsi" w:hAnsiTheme="minorHAnsi"/>
          <w:b/>
          <w:color w:val="auto"/>
          <w:sz w:val="22"/>
          <w:szCs w:val="22"/>
        </w:rPr>
        <w:t>Financement mobilisable et modalité de l’aide</w:t>
      </w:r>
      <w:bookmarkEnd w:id="14"/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2693"/>
        <w:gridCol w:w="4701"/>
      </w:tblGrid>
      <w:tr w:rsidR="000679AB" w:rsidRPr="001D7587" w:rsidTr="00A84FFE">
        <w:tc>
          <w:tcPr>
            <w:tcW w:w="1702" w:type="dxa"/>
          </w:tcPr>
          <w:p w:rsidR="000679AB" w:rsidRPr="001D7587" w:rsidRDefault="000679AB" w:rsidP="000679AB">
            <w:pPr>
              <w:rPr>
                <w:b/>
              </w:rPr>
            </w:pPr>
          </w:p>
        </w:tc>
        <w:tc>
          <w:tcPr>
            <w:tcW w:w="2693" w:type="dxa"/>
          </w:tcPr>
          <w:p w:rsidR="000679AB" w:rsidRPr="001D7587" w:rsidRDefault="00441226" w:rsidP="00095BBD">
            <w:pPr>
              <w:jc w:val="center"/>
              <w:rPr>
                <w:b/>
              </w:rPr>
            </w:pPr>
            <w:r w:rsidRPr="001D7587">
              <w:rPr>
                <w:b/>
              </w:rPr>
              <w:t>Taux</w:t>
            </w:r>
            <w:r w:rsidR="00095BBD" w:rsidRPr="001D7587">
              <w:rPr>
                <w:b/>
              </w:rPr>
              <w:t xml:space="preserve"> maximum</w:t>
            </w:r>
            <w:r w:rsidR="0085227C" w:rsidRPr="001D7587">
              <w:rPr>
                <w:b/>
              </w:rPr>
              <w:t xml:space="preserve"> </w:t>
            </w:r>
            <w:r w:rsidR="000679AB" w:rsidRPr="001D7587">
              <w:rPr>
                <w:b/>
              </w:rPr>
              <w:t>FEDER</w:t>
            </w:r>
          </w:p>
          <w:p w:rsidR="0085227C" w:rsidRPr="001D7587" w:rsidRDefault="0085227C" w:rsidP="00095BBD">
            <w:pPr>
              <w:jc w:val="center"/>
              <w:rPr>
                <w:b/>
              </w:rPr>
            </w:pPr>
            <w:r w:rsidRPr="001D7587">
              <w:rPr>
                <w:b/>
              </w:rPr>
              <w:t>TPE/ PME</w:t>
            </w:r>
          </w:p>
        </w:tc>
        <w:tc>
          <w:tcPr>
            <w:tcW w:w="4701" w:type="dxa"/>
          </w:tcPr>
          <w:p w:rsidR="000679AB" w:rsidRPr="001D7587" w:rsidRDefault="0019652C" w:rsidP="00A84FFE">
            <w:pPr>
              <w:jc w:val="center"/>
              <w:rPr>
                <w:b/>
              </w:rPr>
            </w:pPr>
            <w:r w:rsidRPr="001D7587">
              <w:rPr>
                <w:b/>
              </w:rPr>
              <w:t>Intensité maxi</w:t>
            </w:r>
            <w:r w:rsidR="00E17178" w:rsidRPr="001D7587">
              <w:rPr>
                <w:b/>
              </w:rPr>
              <w:t>male d’a</w:t>
            </w:r>
            <w:r w:rsidR="000C653E" w:rsidRPr="001D7587">
              <w:rPr>
                <w:b/>
              </w:rPr>
              <w:t>ide</w:t>
            </w:r>
            <w:r w:rsidR="000679AB" w:rsidRPr="001D7587">
              <w:rPr>
                <w:b/>
              </w:rPr>
              <w:t xml:space="preserve"> publique</w:t>
            </w:r>
            <w:r w:rsidR="00E17178" w:rsidRPr="001D7587">
              <w:rPr>
                <w:b/>
              </w:rPr>
              <w:t xml:space="preserve"> (toutes aides publiques confondues sur la même assiette)</w:t>
            </w:r>
          </w:p>
        </w:tc>
      </w:tr>
      <w:tr w:rsidR="000679AB" w:rsidRPr="001D7587" w:rsidTr="00A84FFE">
        <w:tc>
          <w:tcPr>
            <w:tcW w:w="1702" w:type="dxa"/>
          </w:tcPr>
          <w:p w:rsidR="001F3EEE" w:rsidRPr="001D7587" w:rsidRDefault="001F3EEE" w:rsidP="00A92D2E">
            <w:pPr>
              <w:jc w:val="center"/>
            </w:pPr>
          </w:p>
          <w:p w:rsidR="000C653E" w:rsidRPr="001D7587" w:rsidRDefault="000C653E" w:rsidP="00A92D2E">
            <w:pPr>
              <w:jc w:val="center"/>
            </w:pPr>
            <w:r w:rsidRPr="001D7587">
              <w:t>TPE</w:t>
            </w:r>
            <w:r w:rsidR="00C3285E" w:rsidRPr="001D7587">
              <w:rPr>
                <w:rStyle w:val="Appelnotedebasdep"/>
              </w:rPr>
              <w:footnoteReference w:id="1"/>
            </w:r>
          </w:p>
          <w:p w:rsidR="000C653E" w:rsidRPr="001D7587" w:rsidRDefault="000C653E" w:rsidP="00A92D2E">
            <w:pPr>
              <w:jc w:val="center"/>
            </w:pPr>
            <w:r w:rsidRPr="001D7587">
              <w:t>PME</w:t>
            </w:r>
          </w:p>
        </w:tc>
        <w:tc>
          <w:tcPr>
            <w:tcW w:w="2693" w:type="dxa"/>
          </w:tcPr>
          <w:p w:rsidR="000679AB" w:rsidRPr="001D7587" w:rsidRDefault="000679AB" w:rsidP="00A84FFE">
            <w:pPr>
              <w:jc w:val="center"/>
            </w:pPr>
          </w:p>
          <w:p w:rsidR="00D61949" w:rsidRPr="001D7587" w:rsidRDefault="00CA71AB" w:rsidP="00A84FFE">
            <w:pPr>
              <w:jc w:val="center"/>
            </w:pPr>
            <w:r w:rsidRPr="001D7587">
              <w:t>55%</w:t>
            </w:r>
          </w:p>
          <w:p w:rsidR="00682ACE" w:rsidRPr="001D7587" w:rsidRDefault="00682ACE" w:rsidP="003D2B04">
            <w:pPr>
              <w:jc w:val="center"/>
            </w:pPr>
          </w:p>
        </w:tc>
        <w:tc>
          <w:tcPr>
            <w:tcW w:w="4701" w:type="dxa"/>
          </w:tcPr>
          <w:p w:rsidR="00A92D2E" w:rsidRPr="001D7587" w:rsidRDefault="00A92D2E" w:rsidP="00A84FFE">
            <w:pPr>
              <w:jc w:val="center"/>
            </w:pPr>
          </w:p>
          <w:p w:rsidR="000C653E" w:rsidRPr="001D7587" w:rsidRDefault="000C653E" w:rsidP="00A84FFE">
            <w:pPr>
              <w:jc w:val="center"/>
            </w:pPr>
            <w:r w:rsidRPr="001D7587">
              <w:t>75 %</w:t>
            </w:r>
          </w:p>
          <w:p w:rsidR="000C653E" w:rsidRPr="001D7587" w:rsidRDefault="000C653E" w:rsidP="00A84FFE">
            <w:pPr>
              <w:jc w:val="center"/>
            </w:pPr>
            <w:r w:rsidRPr="001D7587">
              <w:t>65 %</w:t>
            </w:r>
          </w:p>
        </w:tc>
      </w:tr>
    </w:tbl>
    <w:p w:rsidR="00E17178" w:rsidRPr="001D7587" w:rsidRDefault="00E17178" w:rsidP="00CA71AB">
      <w:pPr>
        <w:spacing w:after="0"/>
        <w:jc w:val="both"/>
      </w:pPr>
    </w:p>
    <w:p w:rsidR="00AD0928" w:rsidRPr="001D7587" w:rsidRDefault="00DC51E0" w:rsidP="00AD0928">
      <w:pPr>
        <w:spacing w:after="0"/>
        <w:jc w:val="both"/>
      </w:pPr>
      <w:r w:rsidRPr="001D7587">
        <w:t xml:space="preserve">La complémentarité avec les autres programmes d’investissement ou les autres programmes européens </w:t>
      </w:r>
      <w:r w:rsidR="00CE6114" w:rsidRPr="001D7587">
        <w:t>est précisée</w:t>
      </w:r>
      <w:r w:rsidRPr="001D7587">
        <w:t xml:space="preserve"> dans la fiche de l’</w:t>
      </w:r>
      <w:hyperlink w:anchor="_Annexes" w:history="1">
        <w:r w:rsidRPr="001D7587">
          <w:rPr>
            <w:rStyle w:val="Lienhypertexte"/>
            <w:color w:val="auto"/>
          </w:rPr>
          <w:t>OS3</w:t>
        </w:r>
      </w:hyperlink>
      <w:r w:rsidRPr="001D7587">
        <w:t>.</w:t>
      </w:r>
    </w:p>
    <w:p w:rsidR="000679AB" w:rsidRPr="001D7587" w:rsidRDefault="000679AB" w:rsidP="00A84FFE"/>
    <w:p w:rsidR="004A2847" w:rsidRPr="001D7587" w:rsidRDefault="00B8522F" w:rsidP="00E44D00">
      <w:pPr>
        <w:pStyle w:val="Titre10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bookmarkStart w:id="15" w:name="_Toc424823976"/>
      <w:r w:rsidRPr="001D7587">
        <w:rPr>
          <w:rFonts w:asciiTheme="minorHAnsi" w:hAnsiTheme="minorHAnsi"/>
          <w:b/>
          <w:color w:val="auto"/>
          <w:sz w:val="22"/>
          <w:szCs w:val="22"/>
        </w:rPr>
        <w:t>Déroulement de la procédure</w:t>
      </w:r>
      <w:bookmarkEnd w:id="15"/>
    </w:p>
    <w:p w:rsidR="004A2847" w:rsidRPr="001D7587" w:rsidRDefault="004A2847" w:rsidP="00A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D7587">
        <w:t xml:space="preserve">Tout soumissionnaire présentant un dossier incomplet ou après la date et heure de limite de réception des réponses ne pourra être retenu </w:t>
      </w:r>
      <w:r w:rsidR="004F7150" w:rsidRPr="001D7587">
        <w:t xml:space="preserve">comme </w:t>
      </w:r>
      <w:r w:rsidR="00435E2E" w:rsidRPr="001D7587">
        <w:t>éligible au présent Appel à Manifestation d’I</w:t>
      </w:r>
      <w:r w:rsidRPr="001D7587">
        <w:t>ntérêt.</w:t>
      </w:r>
    </w:p>
    <w:p w:rsidR="00826B80" w:rsidRPr="001D7587" w:rsidRDefault="00826B80" w:rsidP="00826B80">
      <w:pPr>
        <w:pStyle w:val="Titre2"/>
        <w:ind w:left="1418"/>
        <w:rPr>
          <w:rFonts w:asciiTheme="minorHAnsi" w:hAnsiTheme="minorHAnsi"/>
          <w:color w:val="auto"/>
          <w:sz w:val="22"/>
          <w:szCs w:val="22"/>
        </w:rPr>
      </w:pPr>
    </w:p>
    <w:p w:rsidR="00D81A99" w:rsidRPr="001D7587" w:rsidRDefault="00435E2E" w:rsidP="00A84FFE">
      <w:pPr>
        <w:pStyle w:val="Titre2"/>
        <w:numPr>
          <w:ilvl w:val="0"/>
          <w:numId w:val="32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16" w:name="_Toc424823977"/>
      <w:r w:rsidRPr="001D7587">
        <w:rPr>
          <w:rFonts w:asciiTheme="minorHAnsi" w:hAnsiTheme="minorHAnsi"/>
          <w:color w:val="auto"/>
          <w:sz w:val="22"/>
          <w:szCs w:val="22"/>
        </w:rPr>
        <w:t>Comment participer à un Appel à M</w:t>
      </w:r>
      <w:r w:rsidR="00D81A99" w:rsidRPr="001D7587">
        <w:rPr>
          <w:rFonts w:asciiTheme="minorHAnsi" w:hAnsiTheme="minorHAnsi"/>
          <w:color w:val="auto"/>
          <w:sz w:val="22"/>
          <w:szCs w:val="22"/>
        </w:rPr>
        <w:t>anifestation d’</w:t>
      </w:r>
      <w:r w:rsidRPr="001D7587">
        <w:rPr>
          <w:rFonts w:asciiTheme="minorHAnsi" w:hAnsiTheme="minorHAnsi"/>
          <w:color w:val="auto"/>
          <w:sz w:val="22"/>
          <w:szCs w:val="22"/>
        </w:rPr>
        <w:t>I</w:t>
      </w:r>
      <w:r w:rsidR="00D81A99" w:rsidRPr="001D7587">
        <w:rPr>
          <w:rFonts w:asciiTheme="minorHAnsi" w:hAnsiTheme="minorHAnsi"/>
          <w:color w:val="auto"/>
          <w:sz w:val="22"/>
          <w:szCs w:val="22"/>
        </w:rPr>
        <w:t>ntérêt</w:t>
      </w:r>
      <w:bookmarkEnd w:id="16"/>
    </w:p>
    <w:p w:rsidR="00D81A99" w:rsidRPr="001D7587" w:rsidRDefault="00D81A99" w:rsidP="00A84FFE">
      <w:pPr>
        <w:jc w:val="both"/>
      </w:pPr>
      <w:r w:rsidRPr="001D7587">
        <w:t xml:space="preserve">Le candidat est informé qu’il n’aura droit à aucune indemnité pour les frais qu’il aura pu engager pour participer au présent appel à manifestation d’intérêt et à l’élaboration de son dossier. Celui-ci doit respecter les dispositions du présent cahier des charges. Les documents fournis doivent être au format demandé et en français. </w:t>
      </w:r>
    </w:p>
    <w:p w:rsidR="00D81A99" w:rsidRPr="001D7587" w:rsidRDefault="00D81A99" w:rsidP="00A84FFE">
      <w:pPr>
        <w:jc w:val="both"/>
      </w:pPr>
      <w:r w:rsidRPr="001D7587">
        <w:t>L’absence ou le contenu jugé insuffisant de toute pièce mentionnée dans la composition du dossier sera un motif de rejet de la candidature.</w:t>
      </w:r>
    </w:p>
    <w:p w:rsidR="00826B80" w:rsidRPr="001D7587" w:rsidRDefault="00826B80" w:rsidP="00A84FFE">
      <w:pPr>
        <w:jc w:val="both"/>
        <w:rPr>
          <w:b/>
        </w:rPr>
      </w:pPr>
      <w:r w:rsidRPr="001D7587">
        <w:rPr>
          <w:b/>
        </w:rPr>
        <w:t xml:space="preserve">L’AMI est ouvert à compter du </w:t>
      </w:r>
      <w:r w:rsidR="007C4F7F" w:rsidRPr="001D7587">
        <w:rPr>
          <w:b/>
        </w:rPr>
        <w:t>17</w:t>
      </w:r>
      <w:r w:rsidR="007F3B31" w:rsidRPr="001D7587">
        <w:rPr>
          <w:b/>
        </w:rPr>
        <w:t xml:space="preserve"> juillet 2015</w:t>
      </w:r>
      <w:r w:rsidRPr="001D7587">
        <w:rPr>
          <w:b/>
        </w:rPr>
        <w:t xml:space="preserve"> et les dossiers doivent être transmis au plus tard le </w:t>
      </w:r>
      <w:r w:rsidR="00CE6114" w:rsidRPr="001D7587">
        <w:rPr>
          <w:b/>
        </w:rPr>
        <w:t>30 septembre</w:t>
      </w:r>
      <w:r w:rsidRPr="001D7587">
        <w:rPr>
          <w:b/>
        </w:rPr>
        <w:t xml:space="preserve"> 2015 à 12h (heure de Guyane)</w:t>
      </w:r>
      <w:r w:rsidR="001567F4" w:rsidRPr="001D7587">
        <w:rPr>
          <w:b/>
        </w:rPr>
        <w:t>.</w:t>
      </w:r>
    </w:p>
    <w:p w:rsidR="00C96832" w:rsidRPr="001D7587" w:rsidRDefault="00C96832" w:rsidP="00A84FFE">
      <w:pPr>
        <w:pStyle w:val="Titre2"/>
        <w:numPr>
          <w:ilvl w:val="0"/>
          <w:numId w:val="36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17" w:name="_Toc424823978"/>
      <w:r w:rsidRPr="001D7587">
        <w:rPr>
          <w:rFonts w:asciiTheme="minorHAnsi" w:hAnsiTheme="minorHAnsi"/>
          <w:color w:val="auto"/>
          <w:sz w:val="22"/>
          <w:szCs w:val="22"/>
        </w:rPr>
        <w:t>Dossier d’appel à manifestation d’intérêt</w:t>
      </w:r>
      <w:r w:rsidR="002441B5" w:rsidRPr="001D7587">
        <w:rPr>
          <w:rFonts w:asciiTheme="minorHAnsi" w:hAnsiTheme="minorHAnsi"/>
          <w:color w:val="auto"/>
          <w:sz w:val="22"/>
          <w:szCs w:val="22"/>
        </w:rPr>
        <w:t xml:space="preserve"> et questionnement</w:t>
      </w:r>
      <w:bookmarkEnd w:id="17"/>
    </w:p>
    <w:p w:rsidR="00AD0928" w:rsidRPr="001D7587" w:rsidRDefault="00AD0928" w:rsidP="00AD0928">
      <w:pPr>
        <w:jc w:val="both"/>
      </w:pPr>
      <w:r w:rsidRPr="001D7587">
        <w:t xml:space="preserve">Le dossier d’appel à manifestation d’intérêt peut être téléchargé sous la référence « AMI OS 3 – </w:t>
      </w:r>
      <w:r w:rsidR="00DB2EEE" w:rsidRPr="001D7587">
        <w:t>Aides aux entreprises</w:t>
      </w:r>
      <w:r w:rsidRPr="001D7587">
        <w:t xml:space="preserve"> » sur les sites suivants : </w:t>
      </w:r>
      <w:hyperlink r:id="rId11" w:history="1">
        <w:r w:rsidR="00186E95" w:rsidRPr="001D7587">
          <w:rPr>
            <w:rStyle w:val="Lienhypertexte"/>
          </w:rPr>
          <w:t>https://www.cr-guyane.fr/</w:t>
        </w:r>
      </w:hyperlink>
      <w:r w:rsidRPr="001D7587">
        <w:t xml:space="preserve"> , </w:t>
      </w:r>
      <w:hyperlink r:id="rId12" w:history="1">
        <w:r w:rsidR="00186E95" w:rsidRPr="001D7587">
          <w:rPr>
            <w:rStyle w:val="Lienhypertexte"/>
          </w:rPr>
          <w:t>www.europe-guyane.fr</w:t>
        </w:r>
      </w:hyperlink>
      <w:r w:rsidR="00186E95" w:rsidRPr="001D7587">
        <w:t>,</w:t>
      </w:r>
      <w:r w:rsidR="00DC51E0" w:rsidRPr="001D7587">
        <w:t xml:space="preserve"> </w:t>
      </w:r>
      <w:hyperlink r:id="rId13" w:history="1">
        <w:r w:rsidR="00186E95" w:rsidRPr="001D7587">
          <w:rPr>
            <w:rStyle w:val="Lienhypertexte"/>
            <w:bCs/>
          </w:rPr>
          <w:t>http://www.guyane.dieccte.gouv.fr</w:t>
        </w:r>
      </w:hyperlink>
      <w:r w:rsidR="001F3EEE" w:rsidRPr="001D7587">
        <w:t xml:space="preserve">, </w:t>
      </w:r>
      <w:hyperlink r:id="rId14" w:history="1">
        <w:r w:rsidR="003964E7" w:rsidRPr="001D7587">
          <w:rPr>
            <w:rStyle w:val="Lienhypertexte"/>
            <w:bCs/>
          </w:rPr>
          <w:t>http://medefguyane.fr</w:t>
        </w:r>
      </w:hyperlink>
      <w:r w:rsidR="001F3EEE" w:rsidRPr="001D7587">
        <w:t xml:space="preserve">, </w:t>
      </w:r>
      <w:hyperlink r:id="rId15" w:history="1">
        <w:r w:rsidR="009023FA" w:rsidRPr="001D7587">
          <w:rPr>
            <w:rStyle w:val="Lienhypertexte"/>
            <w:bCs/>
          </w:rPr>
          <w:t>http://www.guyane.cci.fr</w:t>
        </w:r>
      </w:hyperlink>
      <w:r w:rsidR="00AA5391" w:rsidRPr="001D7587">
        <w:t xml:space="preserve">, </w:t>
      </w:r>
      <w:hyperlink r:id="rId16" w:history="1">
        <w:r w:rsidR="009023FA" w:rsidRPr="001D7587">
          <w:rPr>
            <w:rStyle w:val="Lienhypertexte"/>
            <w:bCs/>
          </w:rPr>
          <w:t>http://les-aides.fr</w:t>
        </w:r>
      </w:hyperlink>
      <w:r w:rsidR="00393726" w:rsidRPr="001D7587">
        <w:t>,</w:t>
      </w:r>
      <w:r w:rsidR="00AB2718" w:rsidRPr="001D7587">
        <w:t xml:space="preserve"> </w:t>
      </w:r>
      <w:hyperlink r:id="rId17" w:history="1">
        <w:r w:rsidR="009023FA" w:rsidRPr="001D7587">
          <w:rPr>
            <w:rStyle w:val="Lienhypertexte"/>
            <w:bCs/>
          </w:rPr>
          <w:t>http://www.entreprendre-en-guyane.fr</w:t>
        </w:r>
      </w:hyperlink>
      <w:r w:rsidR="00AB2718" w:rsidRPr="001D7587">
        <w:t xml:space="preserve">, et sur </w:t>
      </w:r>
      <w:hyperlink r:id="rId18" w:history="1">
        <w:r w:rsidR="003964E7" w:rsidRPr="001D7587">
          <w:rPr>
            <w:rStyle w:val="Lienhypertexte"/>
            <w:bCs/>
          </w:rPr>
          <w:t>http://www.mpiguyane.gf</w:t>
        </w:r>
      </w:hyperlink>
      <w:r w:rsidR="00AB2718" w:rsidRPr="001D7587">
        <w:t>.</w:t>
      </w:r>
    </w:p>
    <w:p w:rsidR="00C96832" w:rsidRPr="001D7587" w:rsidRDefault="00C96832" w:rsidP="00A84FFE">
      <w:pPr>
        <w:jc w:val="both"/>
        <w:rPr>
          <w:u w:val="single"/>
        </w:rPr>
      </w:pPr>
      <w:r w:rsidRPr="001D7587">
        <w:t xml:space="preserve">Tout candidat qui retire un dossier de consultation depuis </w:t>
      </w:r>
      <w:r w:rsidR="00CE6114" w:rsidRPr="001D7587">
        <w:t xml:space="preserve">l’un de ces sites </w:t>
      </w:r>
      <w:r w:rsidRPr="001D7587">
        <w:t>internet est invité à s’enregistrer par courriel à l’adresse suivante </w:t>
      </w:r>
      <w:hyperlink r:id="rId19" w:history="1">
        <w:r w:rsidR="00826B80" w:rsidRPr="001D7587">
          <w:rPr>
            <w:rStyle w:val="Lienhypertexte"/>
          </w:rPr>
          <w:t>amifesi@cr-guyane.fr</w:t>
        </w:r>
      </w:hyperlink>
      <w:r w:rsidR="00826B80" w:rsidRPr="001D7587">
        <w:rPr>
          <w:u w:val="single"/>
        </w:rPr>
        <w:t xml:space="preserve">. </w:t>
      </w:r>
    </w:p>
    <w:p w:rsidR="00C96832" w:rsidRPr="001D7587" w:rsidRDefault="00C96832" w:rsidP="00A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C96832" w:rsidRPr="001D7587" w:rsidRDefault="00C96832" w:rsidP="00A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1D7587">
        <w:t>Un candidat qui ne se ferait pas connaître ne saurait tenir la Région Guyane responsable de ne pas lui avoir transmis une information/réponse apportée à un autre candidat.</w:t>
      </w:r>
    </w:p>
    <w:p w:rsidR="00C96832" w:rsidRPr="001D7587" w:rsidRDefault="00C96832" w:rsidP="00A8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96832" w:rsidRPr="001D7587" w:rsidRDefault="00C96832" w:rsidP="00C96832">
      <w:pPr>
        <w:jc w:val="both"/>
      </w:pPr>
      <w:r w:rsidRPr="001D7587">
        <w:t>Le dossier d’appel à manifestation d’intérêt est téléchargeable jusqu’à la date limite de remise des dossiers.</w:t>
      </w:r>
    </w:p>
    <w:p w:rsidR="00C96832" w:rsidRPr="001D7587" w:rsidRDefault="00C96832" w:rsidP="00C96832">
      <w:pPr>
        <w:jc w:val="both"/>
      </w:pPr>
      <w:r w:rsidRPr="001D7587">
        <w:t>Les candidats sont invités à transmettre leur interrogation sur le présent appel à manifestation d’intérêt par courriel à l’adresse mentionnée supra au plus tard 15 jours avant la date de limite de remise des dossiers fixée au point 5.h.</w:t>
      </w:r>
    </w:p>
    <w:p w:rsidR="00C96832" w:rsidRPr="001D7587" w:rsidRDefault="00C96832" w:rsidP="00C96832">
      <w:pPr>
        <w:jc w:val="both"/>
      </w:pPr>
    </w:p>
    <w:p w:rsidR="00B8522F" w:rsidRPr="001D7587" w:rsidRDefault="00B8522F" w:rsidP="00A84FFE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18" w:name="_Toc424823979"/>
      <w:r w:rsidRPr="001D7587">
        <w:rPr>
          <w:rFonts w:asciiTheme="minorHAnsi" w:hAnsiTheme="minorHAnsi"/>
          <w:color w:val="auto"/>
          <w:sz w:val="22"/>
          <w:szCs w:val="22"/>
        </w:rPr>
        <w:t xml:space="preserve">Interlocuteur pour </w:t>
      </w:r>
      <w:r w:rsidR="00EC2EF8" w:rsidRPr="001D7587">
        <w:rPr>
          <w:rFonts w:asciiTheme="minorHAnsi" w:hAnsiTheme="minorHAnsi"/>
          <w:color w:val="auto"/>
          <w:sz w:val="22"/>
          <w:szCs w:val="22"/>
        </w:rPr>
        <w:t>l’</w:t>
      </w:r>
      <w:r w:rsidRPr="001D7587">
        <w:rPr>
          <w:rFonts w:asciiTheme="minorHAnsi" w:hAnsiTheme="minorHAnsi"/>
          <w:color w:val="auto"/>
          <w:sz w:val="22"/>
          <w:szCs w:val="22"/>
        </w:rPr>
        <w:t>obtention de renseignements complémentaires</w:t>
      </w:r>
      <w:bookmarkEnd w:id="18"/>
    </w:p>
    <w:p w:rsidR="00826B80" w:rsidRPr="001D7587" w:rsidRDefault="00826B80" w:rsidP="00826B80">
      <w:pPr>
        <w:pStyle w:val="Sansinterligne"/>
        <w:jc w:val="center"/>
      </w:pPr>
    </w:p>
    <w:p w:rsidR="00B8522F" w:rsidRPr="001D7587" w:rsidRDefault="00B8522F" w:rsidP="00826B80">
      <w:pPr>
        <w:pStyle w:val="Sansinterligne"/>
        <w:jc w:val="center"/>
      </w:pPr>
      <w:r w:rsidRPr="001D7587">
        <w:t xml:space="preserve">Pôle </w:t>
      </w:r>
      <w:r w:rsidR="00B141E2" w:rsidRPr="001D7587">
        <w:t>A</w:t>
      </w:r>
      <w:r w:rsidRPr="001D7587">
        <w:t>ffaires Européennes</w:t>
      </w:r>
    </w:p>
    <w:p w:rsidR="00B8522F" w:rsidRPr="001D7587" w:rsidRDefault="00B8522F" w:rsidP="00826B80">
      <w:pPr>
        <w:pStyle w:val="Sansinterligne"/>
        <w:jc w:val="center"/>
      </w:pPr>
      <w:r w:rsidRPr="001D7587">
        <w:t>Tél :</w:t>
      </w:r>
      <w:r w:rsidR="001F3EEE" w:rsidRPr="001D7587">
        <w:t xml:space="preserve"> </w:t>
      </w:r>
      <w:r w:rsidR="009C27A6" w:rsidRPr="001D7587">
        <w:t>0594 27 59 64</w:t>
      </w:r>
    </w:p>
    <w:p w:rsidR="00B8522F" w:rsidRPr="001D7587" w:rsidRDefault="00B8522F" w:rsidP="00826B80">
      <w:pPr>
        <w:pStyle w:val="Sansinterligne"/>
        <w:jc w:val="center"/>
      </w:pPr>
      <w:r w:rsidRPr="001D7587">
        <w:t>Mel :</w:t>
      </w:r>
      <w:r w:rsidR="00E47DF3" w:rsidRPr="001D7587">
        <w:t xml:space="preserve"> </w:t>
      </w:r>
      <w:hyperlink r:id="rId20" w:history="1">
        <w:r w:rsidR="00B141E2" w:rsidRPr="001D7587">
          <w:rPr>
            <w:rStyle w:val="Lienhypertexte"/>
          </w:rPr>
          <w:t>a</w:t>
        </w:r>
        <w:r w:rsidR="00877860" w:rsidRPr="001D7587">
          <w:rPr>
            <w:rStyle w:val="Lienhypertexte"/>
          </w:rPr>
          <w:t>mifesi</w:t>
        </w:r>
        <w:r w:rsidR="00B141E2" w:rsidRPr="001D7587">
          <w:rPr>
            <w:rStyle w:val="Lienhypertexte"/>
          </w:rPr>
          <w:t>@cr-guyane.fr</w:t>
        </w:r>
      </w:hyperlink>
    </w:p>
    <w:p w:rsidR="00D81A99" w:rsidRPr="001D7587" w:rsidRDefault="00D81A99" w:rsidP="00E678A4">
      <w:pPr>
        <w:jc w:val="center"/>
      </w:pPr>
    </w:p>
    <w:p w:rsidR="00B8522F" w:rsidRPr="001D7587" w:rsidRDefault="00B8522F" w:rsidP="00A84FFE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19" w:name="_Toc424823980"/>
      <w:r w:rsidRPr="001D7587">
        <w:rPr>
          <w:rFonts w:asciiTheme="minorHAnsi" w:hAnsiTheme="minorHAnsi"/>
          <w:color w:val="auto"/>
          <w:sz w:val="22"/>
          <w:szCs w:val="22"/>
        </w:rPr>
        <w:t>Critères d’</w:t>
      </w:r>
      <w:r w:rsidR="000E63D3" w:rsidRPr="001D7587">
        <w:rPr>
          <w:rFonts w:asciiTheme="minorHAnsi" w:hAnsiTheme="minorHAnsi"/>
          <w:color w:val="auto"/>
          <w:sz w:val="22"/>
          <w:szCs w:val="22"/>
        </w:rPr>
        <w:t>appréciation</w:t>
      </w:r>
      <w:r w:rsidR="00C96832" w:rsidRPr="001D7587">
        <w:rPr>
          <w:rFonts w:asciiTheme="minorHAnsi" w:hAnsiTheme="minorHAnsi"/>
          <w:color w:val="auto"/>
          <w:sz w:val="22"/>
          <w:szCs w:val="22"/>
        </w:rPr>
        <w:t xml:space="preserve"> et de sélection</w:t>
      </w:r>
      <w:r w:rsidR="000E63D3" w:rsidRPr="001D7587">
        <w:rPr>
          <w:rFonts w:asciiTheme="minorHAnsi" w:hAnsiTheme="minorHAnsi"/>
          <w:color w:val="auto"/>
          <w:sz w:val="22"/>
          <w:szCs w:val="22"/>
        </w:rPr>
        <w:t xml:space="preserve"> des projets</w:t>
      </w:r>
      <w:bookmarkEnd w:id="19"/>
    </w:p>
    <w:p w:rsidR="00E47DF3" w:rsidRPr="001D7587" w:rsidRDefault="00547226" w:rsidP="00547226">
      <w:pPr>
        <w:jc w:val="both"/>
      </w:pPr>
      <w:r w:rsidRPr="001D7587">
        <w:t xml:space="preserve">Les projets présentant les meilleures garanties techniques, environnementales, financières et de retombées économiques et sociales sur le territoire bénéficieront de conditions prioritaires d’accès aux dispositifs d’aides. </w:t>
      </w:r>
    </w:p>
    <w:p w:rsidR="00547226" w:rsidRPr="001D7587" w:rsidRDefault="00547226" w:rsidP="00547226">
      <w:pPr>
        <w:jc w:val="both"/>
      </w:pPr>
      <w:r w:rsidRPr="001D7587">
        <w:t xml:space="preserve">Les projets seront analysés sur les critères suivants : </w:t>
      </w:r>
    </w:p>
    <w:p w:rsidR="0077307D" w:rsidRPr="001D7587" w:rsidRDefault="0077307D">
      <w:r w:rsidRPr="001D7587">
        <w:br w:type="page"/>
      </w:r>
    </w:p>
    <w:p w:rsidR="0077307D" w:rsidRPr="001D7587" w:rsidRDefault="0077307D" w:rsidP="00547226">
      <w:pPr>
        <w:jc w:val="both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0"/>
        <w:gridCol w:w="1200"/>
        <w:gridCol w:w="1200"/>
      </w:tblGrid>
      <w:tr w:rsidR="00833B20" w:rsidRPr="001D7587" w:rsidTr="00510D52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77307D">
            <w:pPr>
              <w:jc w:val="center"/>
              <w:rPr>
                <w:rFonts w:cs="Arial"/>
                <w:sz w:val="24"/>
                <w:szCs w:val="24"/>
              </w:rPr>
            </w:pPr>
            <w:r w:rsidRPr="001D7587">
              <w:rPr>
                <w:rFonts w:cs="Arial"/>
                <w:sz w:val="24"/>
                <w:szCs w:val="24"/>
              </w:rPr>
              <w:t>Critères</w:t>
            </w:r>
            <w:r w:rsidR="0077307D" w:rsidRPr="001D7587">
              <w:rPr>
                <w:rFonts w:cs="Arial"/>
                <w:sz w:val="24"/>
                <w:szCs w:val="24"/>
              </w:rPr>
              <w:t xml:space="preserve"> d’appréciation et de sélection des projets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center"/>
              <w:rPr>
                <w:rFonts w:cs="Arial"/>
                <w:sz w:val="24"/>
                <w:szCs w:val="24"/>
              </w:rPr>
            </w:pPr>
            <w:r w:rsidRPr="001D7587">
              <w:rPr>
                <w:rFonts w:cs="Arial"/>
                <w:sz w:val="24"/>
                <w:szCs w:val="24"/>
              </w:rPr>
              <w:t>Coefficient</w:t>
            </w:r>
          </w:p>
        </w:tc>
      </w:tr>
      <w:tr w:rsidR="0077307D" w:rsidRPr="001D7587" w:rsidTr="00510D52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77307D" w:rsidP="00510D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7587">
              <w:rPr>
                <w:rFonts w:cs="Arial"/>
                <w:b/>
                <w:sz w:val="24"/>
                <w:szCs w:val="24"/>
              </w:rPr>
              <w:t>Critères communs</w:t>
            </w:r>
            <w:r w:rsidR="00AA0AF2" w:rsidRPr="001D7587">
              <w:rPr>
                <w:rFonts w:cs="Arial"/>
                <w:b/>
                <w:sz w:val="24"/>
                <w:szCs w:val="24"/>
              </w:rPr>
              <w:t xml:space="preserve"> – 20 pts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F921EE" w:rsidP="00510D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7587">
              <w:rPr>
                <w:rFonts w:cs="Arial"/>
                <w:b/>
                <w:sz w:val="24"/>
                <w:szCs w:val="24"/>
              </w:rPr>
              <w:t xml:space="preserve">60 </w:t>
            </w:r>
            <w:r w:rsidR="0077307D" w:rsidRPr="001D7587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AA0AF2" w:rsidRPr="001D7587" w:rsidTr="008B4E94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F2" w:rsidRPr="001D7587" w:rsidRDefault="00AA0AF2">
            <w:pPr>
              <w:jc w:val="center"/>
              <w:rPr>
                <w:rFonts w:cs="Arial"/>
                <w:bCs/>
                <w:i/>
              </w:rPr>
            </w:pPr>
            <w:r w:rsidRPr="001D7587">
              <w:rPr>
                <w:rFonts w:cs="Arial"/>
                <w:bCs/>
                <w:i/>
              </w:rPr>
              <w:t>Le projet dans son environnement</w:t>
            </w:r>
          </w:p>
        </w:tc>
      </w:tr>
      <w:tr w:rsidR="00833B20" w:rsidRPr="001D7587" w:rsidTr="00510D52">
        <w:trPr>
          <w:trHeight w:val="51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260F63" w:rsidP="00393726">
            <w:pPr>
              <w:jc w:val="both"/>
              <w:rPr>
                <w:rFonts w:cs="Arial"/>
              </w:rPr>
            </w:pPr>
            <w:r w:rsidRPr="001D7587">
              <w:rPr>
                <w:rFonts w:cs="Arial"/>
              </w:rPr>
              <w:t>Privilégier</w:t>
            </w:r>
            <w:r w:rsidR="004853B3" w:rsidRPr="001D7587">
              <w:rPr>
                <w:rFonts w:cs="Arial"/>
              </w:rPr>
              <w:t xml:space="preserve"> </w:t>
            </w:r>
            <w:r w:rsidR="00F508B6" w:rsidRPr="001D7587">
              <w:rPr>
                <w:rFonts w:cs="Arial"/>
              </w:rPr>
              <w:t>la stratégie régionale d’innovation (SRI-SI)</w:t>
            </w:r>
            <w:r w:rsidR="00C5214A" w:rsidRPr="001D7587">
              <w:rPr>
                <w:rFonts w:cs="Arial"/>
              </w:rPr>
              <w:t xml:space="preserve"> ou démontrer l</w:t>
            </w:r>
            <w:r w:rsidRPr="001D7587">
              <w:rPr>
                <w:rFonts w:cs="Arial"/>
              </w:rPr>
              <w:t xml:space="preserve">es potentialités offertes par le </w:t>
            </w:r>
            <w:r w:rsidR="00C5214A" w:rsidRPr="001D7587">
              <w:rPr>
                <w:rFonts w:cs="Arial"/>
              </w:rPr>
              <w:t>marché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AA0AF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 xml:space="preserve">5 </w:t>
            </w:r>
            <w:r w:rsidR="00F921EE" w:rsidRPr="001D7587">
              <w:rPr>
                <w:rFonts w:cs="Arial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 </w:t>
            </w:r>
          </w:p>
        </w:tc>
      </w:tr>
      <w:tr w:rsidR="00AA0AF2" w:rsidRPr="001D7587" w:rsidTr="00851973">
        <w:trPr>
          <w:trHeight w:val="41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F2" w:rsidRPr="001D7587" w:rsidRDefault="00AA0AF2">
            <w:pPr>
              <w:jc w:val="center"/>
              <w:rPr>
                <w:rFonts w:cs="Arial"/>
                <w:bCs/>
                <w:i/>
              </w:rPr>
            </w:pPr>
            <w:r w:rsidRPr="001D7587">
              <w:rPr>
                <w:rFonts w:cs="Arial"/>
                <w:bCs/>
                <w:i/>
              </w:rPr>
              <w:t>La structure porteuse et le projet</w:t>
            </w:r>
          </w:p>
        </w:tc>
      </w:tr>
      <w:tr w:rsidR="00833B20" w:rsidRPr="001D7587" w:rsidTr="00510D52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both"/>
              <w:rPr>
                <w:rFonts w:cs="Arial"/>
              </w:rPr>
            </w:pPr>
            <w:r w:rsidRPr="001D7587">
              <w:rPr>
                <w:rFonts w:cs="Arial"/>
              </w:rPr>
              <w:t>Capacité financière du candidat et le préfinancement (soit défini soit prévisionnel) du projet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AA0AF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5</w:t>
            </w:r>
            <w:r w:rsidR="00393726" w:rsidRPr="001D7587">
              <w:rPr>
                <w:rFonts w:cs="Arial"/>
              </w:rPr>
              <w:t xml:space="preserve"> </w:t>
            </w:r>
            <w:r w:rsidR="0077307D" w:rsidRPr="001D7587">
              <w:rPr>
                <w:rFonts w:cs="Arial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 </w:t>
            </w:r>
          </w:p>
        </w:tc>
      </w:tr>
      <w:tr w:rsidR="00833B20" w:rsidRPr="001D7587" w:rsidTr="00833B20">
        <w:trPr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rPr>
                <w:rFonts w:cs="Arial"/>
              </w:rPr>
            </w:pPr>
            <w:r w:rsidRPr="001D7587">
              <w:rPr>
                <w:rFonts w:cs="Arial"/>
              </w:rPr>
              <w:t>Plan de développement de la structure sur les cinq prochaines années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AA0AF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4</w:t>
            </w:r>
            <w:r w:rsidR="00393726" w:rsidRPr="001D7587">
              <w:rPr>
                <w:rFonts w:cs="Arial"/>
              </w:rPr>
              <w:t xml:space="preserve"> </w:t>
            </w:r>
            <w:r w:rsidR="0077307D" w:rsidRPr="001D7587">
              <w:rPr>
                <w:rFonts w:cs="Arial"/>
              </w:rPr>
              <w:t>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 </w:t>
            </w:r>
          </w:p>
        </w:tc>
      </w:tr>
      <w:tr w:rsidR="00833B20" w:rsidRPr="001D7587" w:rsidTr="00833B20">
        <w:trPr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rPr>
                <w:rFonts w:cs="Arial"/>
              </w:rPr>
            </w:pPr>
            <w:r w:rsidRPr="001D7587">
              <w:rPr>
                <w:rFonts w:cs="Arial"/>
              </w:rPr>
              <w:t>Coût total du projet et montant FEDER prévisionnel sollicité</w:t>
            </w:r>
            <w:r w:rsidR="008251DD" w:rsidRPr="001D7587">
              <w:rPr>
                <w:rFonts w:cs="Arial"/>
              </w:rPr>
              <w:t xml:space="preserve"> (ratio montant FEDER / Coût total du projet&lt;</w:t>
            </w:r>
            <w:r w:rsidR="00260F63" w:rsidRPr="001D7587">
              <w:rPr>
                <w:rFonts w:cs="Arial"/>
              </w:rPr>
              <w:t xml:space="preserve"> 5</w:t>
            </w:r>
            <w:r w:rsidR="00026815" w:rsidRPr="001D7587">
              <w:rPr>
                <w:rFonts w:cs="Arial"/>
              </w:rPr>
              <w:t>5%</w:t>
            </w:r>
            <w:r w:rsidR="008251DD" w:rsidRPr="001D7587">
              <w:rPr>
                <w:rFonts w:cs="Arial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3051BF" w:rsidP="003051BF">
            <w:pPr>
              <w:rPr>
                <w:rFonts w:cs="Arial"/>
              </w:rPr>
            </w:pPr>
            <w:r w:rsidRPr="001D7587">
              <w:rPr>
                <w:rFonts w:cs="Arial"/>
              </w:rPr>
              <w:t xml:space="preserve">    </w:t>
            </w:r>
            <w:r w:rsidR="008251DD" w:rsidRPr="001D7587">
              <w:rPr>
                <w:rFonts w:cs="Arial"/>
              </w:rPr>
              <w:t>1</w:t>
            </w:r>
            <w:r w:rsidR="0077307D" w:rsidRPr="001D7587">
              <w:rPr>
                <w:rFonts w:cs="Arial"/>
              </w:rPr>
              <w:t xml:space="preserve"> point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20" w:rsidRPr="001D7587" w:rsidRDefault="00833B20" w:rsidP="00510D52">
            <w:pPr>
              <w:jc w:val="right"/>
              <w:rPr>
                <w:rFonts w:cs="Arial"/>
              </w:rPr>
            </w:pPr>
          </w:p>
        </w:tc>
      </w:tr>
      <w:tr w:rsidR="00541A26" w:rsidRPr="001D7587" w:rsidTr="00833B20">
        <w:trPr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6" w:rsidRPr="001D7587" w:rsidRDefault="00541A26" w:rsidP="00510D52">
            <w:pPr>
              <w:rPr>
                <w:rFonts w:cs="Arial"/>
              </w:rPr>
            </w:pPr>
            <w:r w:rsidRPr="001D7587">
              <w:rPr>
                <w:rFonts w:cs="Arial"/>
              </w:rPr>
              <w:t>Nombre d’emploi créé ou maintenu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6" w:rsidRPr="001D7587" w:rsidRDefault="00AA0AF2" w:rsidP="0077307D">
            <w:pPr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5</w:t>
            </w:r>
            <w:r w:rsidR="00541A26" w:rsidRPr="001D7587">
              <w:rPr>
                <w:rFonts w:cs="Arial"/>
              </w:rPr>
              <w:t xml:space="preserve"> points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26" w:rsidRPr="001D7587" w:rsidRDefault="00541A26" w:rsidP="00510D52">
            <w:pPr>
              <w:jc w:val="right"/>
              <w:rPr>
                <w:rFonts w:cs="Arial"/>
              </w:rPr>
            </w:pPr>
          </w:p>
        </w:tc>
      </w:tr>
      <w:tr w:rsidR="0077307D" w:rsidRPr="001D7587" w:rsidTr="00510D52">
        <w:trPr>
          <w:trHeight w:val="255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77307D" w:rsidP="007730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7587">
              <w:rPr>
                <w:rFonts w:cs="Arial"/>
                <w:b/>
                <w:sz w:val="24"/>
                <w:szCs w:val="24"/>
              </w:rPr>
              <w:t>Critères spécifiques</w:t>
            </w:r>
            <w:r w:rsidR="00AA0AF2" w:rsidRPr="001D7587">
              <w:rPr>
                <w:rFonts w:cs="Arial"/>
                <w:b/>
                <w:sz w:val="24"/>
                <w:szCs w:val="24"/>
              </w:rPr>
              <w:t xml:space="preserve"> – 20 pts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F921EE" w:rsidP="007730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D7587">
              <w:rPr>
                <w:rFonts w:cs="Arial"/>
                <w:b/>
                <w:sz w:val="24"/>
                <w:szCs w:val="24"/>
              </w:rPr>
              <w:t xml:space="preserve">40 </w:t>
            </w:r>
            <w:r w:rsidR="0077307D" w:rsidRPr="001D7587">
              <w:rPr>
                <w:rFonts w:cs="Arial"/>
                <w:b/>
                <w:sz w:val="24"/>
                <w:szCs w:val="24"/>
              </w:rPr>
              <w:t>%</w:t>
            </w:r>
          </w:p>
        </w:tc>
      </w:tr>
      <w:tr w:rsidR="0077307D" w:rsidRPr="001D7587" w:rsidTr="00CD6A36">
        <w:trPr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2F17A7" w:rsidP="003051BF">
            <w:pPr>
              <w:jc w:val="both"/>
              <w:rPr>
                <w:rFonts w:cs="Arial"/>
                <w:i/>
              </w:rPr>
            </w:pPr>
            <w:r w:rsidRPr="001D7587">
              <w:rPr>
                <w:rFonts w:cs="Arial"/>
                <w:i/>
              </w:rPr>
              <w:t xml:space="preserve">Projets d'investissements </w:t>
            </w:r>
            <w:r w:rsidR="00393726" w:rsidRPr="001D7587">
              <w:rPr>
                <w:rFonts w:cs="Arial"/>
                <w:i/>
              </w:rPr>
              <w:t>matériels et immatériels concourant à l’amélioration de la</w:t>
            </w:r>
            <w:r w:rsidRPr="001D7587">
              <w:rPr>
                <w:rFonts w:cs="Arial"/>
                <w:i/>
              </w:rPr>
              <w:t xml:space="preserve"> compétitivité</w:t>
            </w:r>
            <w:r w:rsidR="00C5214A" w:rsidRPr="001D7587">
              <w:rPr>
                <w:rFonts w:cs="Arial"/>
                <w:i/>
              </w:rPr>
              <w:t xml:space="preserve"> </w:t>
            </w:r>
            <w:r w:rsidR="00393726" w:rsidRPr="001D7587">
              <w:rPr>
                <w:rFonts w:cs="Arial"/>
                <w:i/>
              </w:rPr>
              <w:t>du territoire (création/ développement/ reprise)  à l’exclusion de la mise en conformité réglementaire</w:t>
            </w:r>
            <w:r w:rsidR="003051BF" w:rsidRPr="001D7587">
              <w:rPr>
                <w:rFonts w:cs="Arial"/>
                <w:i/>
              </w:rPr>
              <w:t xml:space="preserve"> et du renouvellement du matériel</w:t>
            </w:r>
            <w:r w:rsidR="00393726" w:rsidRPr="001D7587">
              <w:rPr>
                <w:rFonts w:cs="Arial"/>
                <w:i/>
              </w:rPr>
              <w:t xml:space="preserve"> </w:t>
            </w:r>
            <w:r w:rsidR="0077307D" w:rsidRPr="001D7587">
              <w:rPr>
                <w:rFonts w:cs="Arial"/>
                <w:i/>
              </w:rPr>
              <w:t xml:space="preserve">(voir point </w:t>
            </w:r>
            <w:r w:rsidRPr="001D7587">
              <w:rPr>
                <w:rFonts w:cs="Arial"/>
                <w:i/>
              </w:rPr>
              <w:t>3</w:t>
            </w:r>
            <w:r w:rsidR="0077307D" w:rsidRPr="001D7587">
              <w:rPr>
                <w:rFonts w:cs="Arial"/>
                <w:i/>
              </w:rPr>
              <w:t>)</w:t>
            </w:r>
          </w:p>
          <w:p w:rsidR="00393726" w:rsidRPr="001D7587" w:rsidRDefault="002F17A7" w:rsidP="00F921EE">
            <w:pPr>
              <w:pStyle w:val="Paragraphedeliste"/>
              <w:numPr>
                <w:ilvl w:val="0"/>
                <w:numId w:val="1"/>
              </w:numPr>
              <w:spacing w:after="0"/>
              <w:ind w:left="437"/>
              <w:rPr>
                <w:rFonts w:cs="Arial"/>
              </w:rPr>
            </w:pPr>
            <w:r w:rsidRPr="001D7587">
              <w:rPr>
                <w:rFonts w:cs="Arial"/>
              </w:rPr>
              <w:t>Soutien/ Création/ Développement/ Reprise d’une entreprise dans un secteur d’activité et/ ou</w:t>
            </w:r>
            <w:r w:rsidR="003D2B04" w:rsidRPr="001D7587">
              <w:rPr>
                <w:rFonts w:cs="Arial"/>
              </w:rPr>
              <w:t xml:space="preserve"> un</w:t>
            </w:r>
            <w:r w:rsidRPr="001D7587">
              <w:rPr>
                <w:rFonts w:cs="Arial"/>
              </w:rPr>
              <w:t xml:space="preserve"> lieu </w:t>
            </w:r>
            <w:r w:rsidR="003D2B04" w:rsidRPr="001D7587">
              <w:rPr>
                <w:rFonts w:cs="Arial"/>
              </w:rPr>
              <w:t>où</w:t>
            </w:r>
            <w:r w:rsidRPr="001D7587">
              <w:rPr>
                <w:rFonts w:cs="Arial"/>
              </w:rPr>
              <w:t xml:space="preserve"> l’offre</w:t>
            </w:r>
            <w:r w:rsidR="00393726" w:rsidRPr="001D7587">
              <w:rPr>
                <w:rFonts w:cs="Arial"/>
              </w:rPr>
              <w:t xml:space="preserve"> locale</w:t>
            </w:r>
            <w:r w:rsidRPr="001D7587">
              <w:rPr>
                <w:rFonts w:cs="Arial"/>
              </w:rPr>
              <w:t xml:space="preserve"> est insuffisante</w:t>
            </w:r>
          </w:p>
          <w:p w:rsidR="00F921EE" w:rsidRPr="001D7587" w:rsidRDefault="00393726" w:rsidP="00F921EE">
            <w:pPr>
              <w:pStyle w:val="Paragraphedeliste"/>
              <w:numPr>
                <w:ilvl w:val="0"/>
                <w:numId w:val="1"/>
              </w:numPr>
              <w:spacing w:after="0"/>
              <w:ind w:left="437"/>
              <w:rPr>
                <w:rFonts w:cs="Arial"/>
              </w:rPr>
            </w:pPr>
            <w:r w:rsidRPr="001D7587">
              <w:rPr>
                <w:rFonts w:cs="Arial"/>
              </w:rPr>
              <w:t>Proposer</w:t>
            </w:r>
            <w:r w:rsidR="000E3E68" w:rsidRPr="001D7587">
              <w:rPr>
                <w:rFonts w:cs="Arial"/>
              </w:rPr>
              <w:t xml:space="preserve"> une différenciation par la qualité des produits (matériels ou immatériels) sur le m</w:t>
            </w:r>
            <w:r w:rsidR="003051BF" w:rsidRPr="001D7587">
              <w:rPr>
                <w:rFonts w:cs="Arial"/>
              </w:rPr>
              <w:t>arché local</w:t>
            </w:r>
          </w:p>
          <w:p w:rsidR="0024715E" w:rsidRPr="001D7587" w:rsidRDefault="002F17A7" w:rsidP="00F921EE">
            <w:pPr>
              <w:pStyle w:val="Paragraphedeliste"/>
              <w:numPr>
                <w:ilvl w:val="0"/>
                <w:numId w:val="1"/>
              </w:numPr>
              <w:spacing w:after="0"/>
              <w:ind w:left="437"/>
              <w:rPr>
                <w:rFonts w:cs="Arial"/>
              </w:rPr>
            </w:pPr>
            <w:r w:rsidRPr="001D7587">
              <w:rPr>
                <w:rFonts w:cs="Arial"/>
              </w:rPr>
              <w:t>Prise en compte du développement durable et réduction des nuisances environnementales</w:t>
            </w:r>
            <w:r w:rsidR="002929DD" w:rsidRPr="001D7587">
              <w:rPr>
                <w:rFonts w:cs="Arial"/>
              </w:rPr>
              <w:t xml:space="preserve"> (promotion labels de qualité environnement...)</w:t>
            </w:r>
          </w:p>
          <w:p w:rsidR="00F921EE" w:rsidRPr="001D7587" w:rsidRDefault="00F508B6" w:rsidP="00F921EE">
            <w:pPr>
              <w:pStyle w:val="Paragraphedeliste"/>
              <w:numPr>
                <w:ilvl w:val="0"/>
                <w:numId w:val="1"/>
              </w:numPr>
              <w:spacing w:after="0"/>
              <w:ind w:left="437"/>
              <w:rPr>
                <w:rFonts w:cs="Arial"/>
              </w:rPr>
            </w:pPr>
            <w:r w:rsidRPr="001D7587">
              <w:rPr>
                <w:rFonts w:cs="Arial"/>
              </w:rPr>
              <w:t>Prise en compte de l’égalité des chances et de la non-discrimination</w:t>
            </w:r>
          </w:p>
          <w:p w:rsidR="007F6D3F" w:rsidRPr="001D7587" w:rsidRDefault="007F6D3F" w:rsidP="003D2B04">
            <w:pPr>
              <w:pStyle w:val="Paragraphedeliste"/>
              <w:spacing w:after="0"/>
              <w:ind w:left="437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B6" w:rsidRPr="001D7587" w:rsidRDefault="00F508B6" w:rsidP="00CD6A36">
            <w:pPr>
              <w:rPr>
                <w:rFonts w:cs="Arial"/>
                <w:i/>
              </w:rPr>
            </w:pPr>
          </w:p>
          <w:p w:rsidR="0024715E" w:rsidRPr="001D7587" w:rsidRDefault="003051BF" w:rsidP="00CD6A36">
            <w:pPr>
              <w:rPr>
                <w:rFonts w:cs="Arial"/>
              </w:rPr>
            </w:pPr>
            <w:r w:rsidRPr="001D7587">
              <w:rPr>
                <w:rFonts w:cs="Arial"/>
                <w:i/>
              </w:rPr>
              <w:t xml:space="preserve"> </w:t>
            </w:r>
            <w:r w:rsidR="00AA0AF2" w:rsidRPr="001D7587">
              <w:rPr>
                <w:rFonts w:cs="Arial"/>
              </w:rPr>
              <w:t>2</w:t>
            </w:r>
            <w:r w:rsidR="003120F3" w:rsidRPr="001D7587">
              <w:rPr>
                <w:rFonts w:cs="Arial"/>
              </w:rPr>
              <w:t>0 points</w:t>
            </w:r>
          </w:p>
          <w:p w:rsidR="00C5214A" w:rsidRPr="001D7587" w:rsidRDefault="00C5214A" w:rsidP="00851973">
            <w:pPr>
              <w:spacing w:after="0"/>
              <w:jc w:val="center"/>
              <w:rPr>
                <w:rFonts w:cs="Arial"/>
              </w:rPr>
            </w:pPr>
          </w:p>
          <w:p w:rsidR="003051BF" w:rsidRPr="001D7587" w:rsidRDefault="003051BF" w:rsidP="00851973">
            <w:pPr>
              <w:spacing w:after="0"/>
              <w:jc w:val="center"/>
              <w:rPr>
                <w:rFonts w:cs="Arial"/>
              </w:rPr>
            </w:pPr>
          </w:p>
          <w:p w:rsidR="00F921EE" w:rsidRPr="001D7587" w:rsidRDefault="00393726" w:rsidP="00851973">
            <w:pPr>
              <w:spacing w:after="0"/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4</w:t>
            </w:r>
            <w:r w:rsidR="00AA0AF2" w:rsidRPr="001D7587">
              <w:rPr>
                <w:rFonts w:cs="Arial"/>
              </w:rPr>
              <w:t xml:space="preserve"> </w:t>
            </w:r>
            <w:r w:rsidR="003120F3" w:rsidRPr="001D7587">
              <w:rPr>
                <w:rFonts w:cs="Arial"/>
              </w:rPr>
              <w:t>points</w:t>
            </w:r>
          </w:p>
          <w:p w:rsidR="00393726" w:rsidRPr="001D7587" w:rsidRDefault="00393726" w:rsidP="00851973">
            <w:pPr>
              <w:spacing w:after="0"/>
              <w:jc w:val="center"/>
              <w:rPr>
                <w:rFonts w:cs="Arial"/>
              </w:rPr>
            </w:pPr>
          </w:p>
          <w:p w:rsidR="00393726" w:rsidRPr="001D7587" w:rsidRDefault="00393726" w:rsidP="00851973">
            <w:pPr>
              <w:spacing w:after="0"/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>4 points</w:t>
            </w:r>
          </w:p>
          <w:p w:rsidR="00393726" w:rsidRPr="001D7587" w:rsidRDefault="00393726" w:rsidP="00393726">
            <w:pPr>
              <w:spacing w:after="0"/>
              <w:rPr>
                <w:rFonts w:cs="Arial"/>
              </w:rPr>
            </w:pPr>
          </w:p>
          <w:p w:rsidR="00F921EE" w:rsidRPr="001D7587" w:rsidRDefault="00393726" w:rsidP="00393726">
            <w:pPr>
              <w:spacing w:after="0"/>
              <w:rPr>
                <w:rFonts w:cs="Arial"/>
              </w:rPr>
            </w:pPr>
            <w:r w:rsidRPr="001D7587">
              <w:rPr>
                <w:rFonts w:cs="Arial"/>
              </w:rPr>
              <w:t xml:space="preserve">   </w:t>
            </w:r>
            <w:r w:rsidR="003051BF" w:rsidRPr="001D7587">
              <w:rPr>
                <w:rFonts w:cs="Arial"/>
              </w:rPr>
              <w:t xml:space="preserve"> </w:t>
            </w:r>
            <w:r w:rsidR="00AA0AF2" w:rsidRPr="001D7587">
              <w:rPr>
                <w:rFonts w:cs="Arial"/>
              </w:rPr>
              <w:t>6</w:t>
            </w:r>
            <w:r w:rsidR="003120F3" w:rsidRPr="001D7587">
              <w:rPr>
                <w:rFonts w:cs="Arial"/>
              </w:rPr>
              <w:t xml:space="preserve"> points</w:t>
            </w:r>
          </w:p>
          <w:p w:rsidR="00F508B6" w:rsidRPr="001D7587" w:rsidRDefault="00F508B6" w:rsidP="003120F3">
            <w:pPr>
              <w:spacing w:after="0"/>
              <w:jc w:val="center"/>
              <w:rPr>
                <w:rFonts w:cs="Arial"/>
              </w:rPr>
            </w:pPr>
          </w:p>
          <w:p w:rsidR="00393726" w:rsidRPr="001D7587" w:rsidRDefault="00393726" w:rsidP="003120F3">
            <w:pPr>
              <w:spacing w:after="0"/>
              <w:jc w:val="center"/>
              <w:rPr>
                <w:rFonts w:cs="Arial"/>
              </w:rPr>
            </w:pPr>
          </w:p>
          <w:p w:rsidR="0024715E" w:rsidRPr="001D7587" w:rsidRDefault="00393726" w:rsidP="003120F3">
            <w:pPr>
              <w:spacing w:after="0"/>
              <w:jc w:val="center"/>
              <w:rPr>
                <w:rFonts w:cs="Arial"/>
              </w:rPr>
            </w:pPr>
            <w:r w:rsidRPr="001D7587">
              <w:rPr>
                <w:rFonts w:cs="Arial"/>
              </w:rPr>
              <w:t xml:space="preserve"> </w:t>
            </w:r>
            <w:r w:rsidR="00AA0AF2" w:rsidRPr="001D7587">
              <w:rPr>
                <w:rFonts w:cs="Arial"/>
              </w:rPr>
              <w:t>6</w:t>
            </w:r>
            <w:r w:rsidR="0024715E" w:rsidRPr="001D7587">
              <w:rPr>
                <w:rFonts w:cs="Arial"/>
              </w:rPr>
              <w:t xml:space="preserve"> points</w:t>
            </w:r>
          </w:p>
          <w:p w:rsidR="003120F3" w:rsidRPr="001D7587" w:rsidRDefault="003120F3" w:rsidP="003120F3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7D" w:rsidRPr="001D7587" w:rsidRDefault="0077307D" w:rsidP="00510D52">
            <w:pPr>
              <w:jc w:val="right"/>
              <w:rPr>
                <w:rFonts w:cs="Arial"/>
              </w:rPr>
            </w:pPr>
          </w:p>
        </w:tc>
      </w:tr>
    </w:tbl>
    <w:p w:rsidR="00833B20" w:rsidRPr="001D7587" w:rsidRDefault="00833B20" w:rsidP="009C27A6">
      <w:pPr>
        <w:jc w:val="both"/>
        <w:rPr>
          <w:highlight w:val="yellow"/>
        </w:rPr>
      </w:pPr>
    </w:p>
    <w:p w:rsidR="00E678A4" w:rsidRPr="001D7587" w:rsidRDefault="00E678A4" w:rsidP="00E678A4">
      <w:pPr>
        <w:pStyle w:val="Paragraphedeliste"/>
        <w:jc w:val="both"/>
      </w:pPr>
    </w:p>
    <w:p w:rsidR="008A0AC1" w:rsidRPr="001D7587" w:rsidRDefault="008A0AC1" w:rsidP="00A84FFE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20" w:name="_Toc424823981"/>
      <w:r w:rsidRPr="001D7587">
        <w:rPr>
          <w:rFonts w:asciiTheme="minorHAnsi" w:hAnsiTheme="minorHAnsi"/>
          <w:color w:val="auto"/>
          <w:sz w:val="22"/>
          <w:szCs w:val="22"/>
        </w:rPr>
        <w:t>Pièces à fournir par le soumissionnaire</w:t>
      </w:r>
      <w:bookmarkEnd w:id="20"/>
    </w:p>
    <w:p w:rsidR="00D81A99" w:rsidRPr="001D7587" w:rsidRDefault="00D81A99" w:rsidP="00A84FFE">
      <w:pPr>
        <w:jc w:val="both"/>
      </w:pPr>
      <w:r w:rsidRPr="001D7587">
        <w:t>Le soumissionnaire, pour que sa candidature soit analysée, doit fournir les pièces suivantes :</w:t>
      </w:r>
    </w:p>
    <w:p w:rsidR="00D81A99" w:rsidRPr="001D7587" w:rsidRDefault="00D81A99" w:rsidP="00A84FFE">
      <w:pPr>
        <w:pStyle w:val="Paragraphedeliste"/>
        <w:numPr>
          <w:ilvl w:val="0"/>
          <w:numId w:val="29"/>
        </w:numPr>
      </w:pPr>
      <w:r w:rsidRPr="001D7587">
        <w:t>Dossier de soumission au présent appel à manifestation d’intérêt reprenant, à minima, les informations suivantes</w:t>
      </w:r>
      <w:r w:rsidR="00451E84" w:rsidRPr="001D7587">
        <w:t xml:space="preserve"> (cf. fiche de synthèse)</w:t>
      </w:r>
      <w:r w:rsidRPr="001D7587">
        <w:t> :</w:t>
      </w:r>
    </w:p>
    <w:p w:rsidR="00DF199C" w:rsidRPr="001D7587" w:rsidRDefault="00DF199C" w:rsidP="00A84FFE">
      <w:pPr>
        <w:pStyle w:val="Paragraphedeliste"/>
        <w:numPr>
          <w:ilvl w:val="0"/>
          <w:numId w:val="24"/>
        </w:numPr>
      </w:pPr>
      <w:r w:rsidRPr="001D7587">
        <w:t xml:space="preserve">Présentation succincte </w:t>
      </w:r>
      <w:r w:rsidR="00CE6114" w:rsidRPr="001D7587">
        <w:t>du Porteur (</w:t>
      </w:r>
      <w:r w:rsidR="00EC6F38" w:rsidRPr="001D7587">
        <w:t>CV</w:t>
      </w:r>
      <w:r w:rsidR="00CE6114" w:rsidRPr="001D7587">
        <w:t xml:space="preserve"> du candidat) et </w:t>
      </w:r>
      <w:r w:rsidRPr="001D7587">
        <w:t xml:space="preserve">de l’entreprise et son numéro SIRET (date de création, </w:t>
      </w:r>
      <w:r w:rsidR="007F6D3F" w:rsidRPr="001D7587">
        <w:t xml:space="preserve">création à venir, </w:t>
      </w:r>
      <w:r w:rsidRPr="001D7587">
        <w:t>chiffre d’affaire 2014, effectif, ses réalisations,</w:t>
      </w:r>
      <w:r w:rsidR="00CE6114" w:rsidRPr="001D7587">
        <w:t xml:space="preserve"> Kbis po</w:t>
      </w:r>
      <w:r w:rsidR="00E47DF3" w:rsidRPr="001D7587">
        <w:t>ur les entreprises existantes,</w:t>
      </w:r>
      <w:r w:rsidRPr="001D7587">
        <w:t>…) ;</w:t>
      </w:r>
    </w:p>
    <w:p w:rsidR="003051BF" w:rsidRPr="001D7587" w:rsidRDefault="003051BF" w:rsidP="00A84FFE">
      <w:pPr>
        <w:pStyle w:val="Paragraphedeliste"/>
        <w:numPr>
          <w:ilvl w:val="0"/>
          <w:numId w:val="24"/>
        </w:numPr>
      </w:pPr>
      <w:r w:rsidRPr="001D7587">
        <w:t>Présentation du projet ;</w:t>
      </w:r>
    </w:p>
    <w:p w:rsidR="00D81A99" w:rsidRPr="001D7587" w:rsidRDefault="00D81A99" w:rsidP="00A84FFE">
      <w:pPr>
        <w:pStyle w:val="Paragraphedeliste"/>
        <w:numPr>
          <w:ilvl w:val="0"/>
          <w:numId w:val="24"/>
        </w:numPr>
      </w:pPr>
      <w:r w:rsidRPr="001D7587">
        <w:t xml:space="preserve">Etat d’avancement </w:t>
      </w:r>
      <w:r w:rsidR="00DF199C" w:rsidRPr="001D7587">
        <w:t>du projet</w:t>
      </w:r>
      <w:r w:rsidRPr="001D7587">
        <w:t xml:space="preserve"> (phase de réflexion, phase de constitution technique du projet, phase de financement,…)</w:t>
      </w:r>
    </w:p>
    <w:p w:rsidR="00D81A99" w:rsidRPr="001D7587" w:rsidRDefault="00D81A99" w:rsidP="00A84FFE">
      <w:pPr>
        <w:pStyle w:val="Paragraphedeliste"/>
        <w:numPr>
          <w:ilvl w:val="0"/>
          <w:numId w:val="24"/>
        </w:numPr>
      </w:pPr>
      <w:r w:rsidRPr="001D7587">
        <w:t>Coût prévisionnel du projet</w:t>
      </w:r>
      <w:r w:rsidR="00CE6114" w:rsidRPr="001D7587">
        <w:t xml:space="preserve"> </w:t>
      </w:r>
      <w:r w:rsidRPr="001D7587">
        <w:t>par</w:t>
      </w:r>
      <w:r w:rsidR="00F7249F" w:rsidRPr="001D7587">
        <w:t xml:space="preserve"> grande catégorie</w:t>
      </w:r>
      <w:r w:rsidRPr="001D7587">
        <w:t xml:space="preserve"> de dépense ;</w:t>
      </w:r>
    </w:p>
    <w:p w:rsidR="00D81A99" w:rsidRPr="001D7587" w:rsidRDefault="00D81A99" w:rsidP="00A84FFE">
      <w:pPr>
        <w:pStyle w:val="Paragraphedeliste"/>
        <w:numPr>
          <w:ilvl w:val="0"/>
          <w:numId w:val="24"/>
        </w:numPr>
      </w:pPr>
      <w:r w:rsidRPr="001D7587">
        <w:t>Les sources de financement prévisionnelles ;</w:t>
      </w:r>
    </w:p>
    <w:p w:rsidR="00D81A99" w:rsidRPr="001D7587" w:rsidRDefault="00DF199C" w:rsidP="00A84FFE">
      <w:pPr>
        <w:pStyle w:val="Paragraphedeliste"/>
        <w:numPr>
          <w:ilvl w:val="0"/>
          <w:numId w:val="24"/>
        </w:numPr>
      </w:pPr>
      <w:r w:rsidRPr="001D7587">
        <w:t>Calendrier prévisionnel ;</w:t>
      </w:r>
    </w:p>
    <w:p w:rsidR="00451E84" w:rsidRPr="001D7587" w:rsidRDefault="00451E84" w:rsidP="00451E84">
      <w:r w:rsidRPr="001D7587">
        <w:t>Et toute autre pièce nécessaire à l’étude du dossier.</w:t>
      </w:r>
    </w:p>
    <w:p w:rsidR="00E3276F" w:rsidRPr="001D7587" w:rsidRDefault="00E3276F" w:rsidP="00A84FFE">
      <w:pPr>
        <w:jc w:val="both"/>
      </w:pPr>
      <w:r w:rsidRPr="001D7587">
        <w:t>L</w:t>
      </w:r>
      <w:r w:rsidR="00707228" w:rsidRPr="001D7587">
        <w:t>’ensemble des membres du Comité</w:t>
      </w:r>
      <w:r w:rsidR="00EA0B7F" w:rsidRPr="001D7587">
        <w:t xml:space="preserve"> de pilotage et de synthèse</w:t>
      </w:r>
      <w:r w:rsidR="00DF199C" w:rsidRPr="001D7587">
        <w:t xml:space="preserve"> s’engage</w:t>
      </w:r>
      <w:r w:rsidR="00707228" w:rsidRPr="001D7587">
        <w:t xml:space="preserve"> </w:t>
      </w:r>
      <w:r w:rsidR="00013172" w:rsidRPr="001D7587">
        <w:t>à maintenir sur</w:t>
      </w:r>
      <w:r w:rsidRPr="001D7587">
        <w:t xml:space="preserve"> l’ensemble des pièces du dossier le secret professionnel et la confidentialité</w:t>
      </w:r>
      <w:r w:rsidR="00DF199C" w:rsidRPr="001D7587">
        <w:t xml:space="preserve"> des données</w:t>
      </w:r>
      <w:r w:rsidRPr="001D7587">
        <w:t xml:space="preserve">. </w:t>
      </w:r>
    </w:p>
    <w:p w:rsidR="00E3276F" w:rsidRPr="001D7587" w:rsidRDefault="00E3276F" w:rsidP="00A84FFE">
      <w:pPr>
        <w:jc w:val="both"/>
      </w:pPr>
      <w:r w:rsidRPr="001D7587">
        <w:t>Les pièces demandées dans le dossier permettront, en toute transparence, de porter un avis objectif sur les capacités du porteur à mettre en œuvre son projet. L’absence de pièces essentielles à la cotation du projet ne permettra pas une valorisation optimale du dossier.</w:t>
      </w:r>
    </w:p>
    <w:p w:rsidR="002441B5" w:rsidRPr="001D7587" w:rsidRDefault="002441B5" w:rsidP="00A84FFE">
      <w:pPr>
        <w:jc w:val="both"/>
      </w:pPr>
    </w:p>
    <w:p w:rsidR="002441B5" w:rsidRPr="001D7587" w:rsidRDefault="002441B5" w:rsidP="002441B5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21" w:name="_Toc424823982"/>
      <w:r w:rsidRPr="001D7587">
        <w:rPr>
          <w:rFonts w:asciiTheme="minorHAnsi" w:hAnsiTheme="minorHAnsi"/>
          <w:color w:val="auto"/>
          <w:sz w:val="22"/>
          <w:szCs w:val="22"/>
        </w:rPr>
        <w:t>Dépôt des dossiers</w:t>
      </w:r>
      <w:bookmarkEnd w:id="21"/>
    </w:p>
    <w:p w:rsidR="002441B5" w:rsidRPr="001D7587" w:rsidRDefault="00F7249F" w:rsidP="002441B5">
      <w:pPr>
        <w:jc w:val="both"/>
      </w:pPr>
      <w:r w:rsidRPr="001D7587">
        <w:t>U</w:t>
      </w:r>
      <w:r w:rsidR="002441B5" w:rsidRPr="001D7587">
        <w:t>n exemplaire sur support numérique (clé USB</w:t>
      </w:r>
      <w:r w:rsidR="00AD0928" w:rsidRPr="001D7587">
        <w:t>, CDROM</w:t>
      </w:r>
      <w:r w:rsidR="00CD6A36" w:rsidRPr="001D7587">
        <w:t>, courriel</w:t>
      </w:r>
      <w:r w:rsidR="002441B5" w:rsidRPr="001D7587">
        <w:t xml:space="preserve">), </w:t>
      </w:r>
      <w:r w:rsidRPr="001D7587">
        <w:t>doit</w:t>
      </w:r>
      <w:r w:rsidR="002441B5" w:rsidRPr="001D7587">
        <w:t xml:space="preserve"> être remis</w:t>
      </w:r>
      <w:r w:rsidRPr="001D7587">
        <w:t>, ce dernier pourra être accompagné d’un exemplaire sur support papier (ces exemplaires devant contenir les mêmes documents)</w:t>
      </w:r>
      <w:r w:rsidR="002441B5" w:rsidRPr="001D7587">
        <w:t> :</w:t>
      </w:r>
    </w:p>
    <w:p w:rsidR="002441B5" w:rsidRPr="001D7587" w:rsidRDefault="002441B5" w:rsidP="002441B5">
      <w:pPr>
        <w:pStyle w:val="Paragraphedeliste"/>
        <w:numPr>
          <w:ilvl w:val="0"/>
          <w:numId w:val="28"/>
        </w:numPr>
        <w:spacing w:after="0"/>
        <w:jc w:val="center"/>
      </w:pPr>
      <w:r w:rsidRPr="001D7587">
        <w:t xml:space="preserve">Soit en main propre ou par courrier postal à l’accueil du public au </w:t>
      </w:r>
    </w:p>
    <w:p w:rsidR="002441B5" w:rsidRPr="001D7587" w:rsidRDefault="002441B5" w:rsidP="002441B5">
      <w:pPr>
        <w:spacing w:after="0"/>
        <w:jc w:val="center"/>
      </w:pPr>
      <w:r w:rsidRPr="001D7587">
        <w:t>Pôle Affaires Européennes aux heures d’ouverture du public :</w:t>
      </w:r>
    </w:p>
    <w:p w:rsidR="002441B5" w:rsidRPr="001D7587" w:rsidRDefault="002441B5" w:rsidP="002441B5">
      <w:pPr>
        <w:spacing w:after="0"/>
        <w:jc w:val="center"/>
      </w:pPr>
      <w:r w:rsidRPr="001D7587">
        <w:t>Les Verrières de la Madeleine</w:t>
      </w:r>
    </w:p>
    <w:p w:rsidR="002441B5" w:rsidRPr="001D7587" w:rsidRDefault="002441B5" w:rsidP="002441B5">
      <w:pPr>
        <w:spacing w:after="0"/>
        <w:jc w:val="center"/>
      </w:pPr>
      <w:r w:rsidRPr="001D7587">
        <w:t>2260, Route de la madeleine</w:t>
      </w:r>
    </w:p>
    <w:p w:rsidR="002441B5" w:rsidRPr="001D7587" w:rsidRDefault="002441B5" w:rsidP="002441B5">
      <w:pPr>
        <w:spacing w:after="0"/>
        <w:jc w:val="center"/>
      </w:pPr>
      <w:r w:rsidRPr="001D7587">
        <w:t>97300 CAYENNE</w:t>
      </w:r>
    </w:p>
    <w:p w:rsidR="002441B5" w:rsidRPr="001D7587" w:rsidRDefault="002441B5" w:rsidP="00CD6A36">
      <w:pPr>
        <w:spacing w:after="0"/>
        <w:jc w:val="center"/>
        <w:rPr>
          <w:i/>
        </w:rPr>
      </w:pPr>
      <w:r w:rsidRPr="001D7587">
        <w:rPr>
          <w:i/>
        </w:rPr>
        <w:t xml:space="preserve">Dans une enveloppe cachetée portant les mentions « AMI OS 3 </w:t>
      </w:r>
      <w:r w:rsidR="00DB2EEE" w:rsidRPr="001D7587">
        <w:rPr>
          <w:i/>
        </w:rPr>
        <w:t>–Aides aux entreprises</w:t>
      </w:r>
      <w:r w:rsidRPr="001D7587">
        <w:rPr>
          <w:i/>
        </w:rPr>
        <w:t>/ PO FEDER-FSE 2014-2020 » et « Ne pas ouvrir » ainsi que le nom et l’adresse exacte de la société soumissionnant.</w:t>
      </w:r>
    </w:p>
    <w:p w:rsidR="002441B5" w:rsidRPr="001D7587" w:rsidRDefault="002441B5" w:rsidP="002441B5">
      <w:pPr>
        <w:spacing w:after="0"/>
        <w:jc w:val="both"/>
      </w:pPr>
    </w:p>
    <w:p w:rsidR="002441B5" w:rsidRPr="001D7587" w:rsidRDefault="002441B5" w:rsidP="002441B5">
      <w:pPr>
        <w:pStyle w:val="Paragraphedeliste"/>
        <w:numPr>
          <w:ilvl w:val="0"/>
          <w:numId w:val="28"/>
        </w:numPr>
        <w:spacing w:after="0"/>
        <w:ind w:left="284" w:hanging="284"/>
        <w:jc w:val="center"/>
      </w:pPr>
      <w:r w:rsidRPr="001D7587">
        <w:t>Soit par courriel à l’adresse :</w:t>
      </w:r>
    </w:p>
    <w:p w:rsidR="002441B5" w:rsidRPr="001D7587" w:rsidRDefault="00075D80" w:rsidP="002441B5">
      <w:pPr>
        <w:spacing w:after="0"/>
        <w:jc w:val="center"/>
        <w:rPr>
          <w:u w:val="single"/>
        </w:rPr>
      </w:pPr>
      <w:hyperlink r:id="rId21" w:history="1">
        <w:r w:rsidR="002441B5" w:rsidRPr="001D7587">
          <w:rPr>
            <w:rStyle w:val="Lienhypertexte"/>
          </w:rPr>
          <w:t>a</w:t>
        </w:r>
        <w:r w:rsidR="00F7249F" w:rsidRPr="001D7587">
          <w:rPr>
            <w:rStyle w:val="Lienhypertexte"/>
          </w:rPr>
          <w:t>mifesi</w:t>
        </w:r>
        <w:r w:rsidR="002441B5" w:rsidRPr="001D7587">
          <w:rPr>
            <w:rStyle w:val="Lienhypertexte"/>
          </w:rPr>
          <w:t>@cr-guyane.fr</w:t>
        </w:r>
      </w:hyperlink>
    </w:p>
    <w:p w:rsidR="002441B5" w:rsidRPr="001D7587" w:rsidRDefault="002441B5" w:rsidP="002441B5">
      <w:pPr>
        <w:jc w:val="both"/>
      </w:pPr>
    </w:p>
    <w:p w:rsidR="002441B5" w:rsidRPr="001D7587" w:rsidRDefault="002441B5" w:rsidP="00CD6A36">
      <w:pPr>
        <w:jc w:val="center"/>
        <w:rPr>
          <w:i/>
        </w:rPr>
      </w:pPr>
      <w:r w:rsidRPr="001D7587">
        <w:rPr>
          <w:i/>
        </w:rPr>
        <w:t>Portant les mentions « AMI OS 3</w:t>
      </w:r>
      <w:r w:rsidR="00DB2EEE" w:rsidRPr="001D7587">
        <w:rPr>
          <w:i/>
        </w:rPr>
        <w:t>–Aides aux entreprises</w:t>
      </w:r>
      <w:r w:rsidRPr="001D7587">
        <w:rPr>
          <w:i/>
        </w:rPr>
        <w:t>/POFEDER-FSE 2014-2020 : confidentiel » dans l’objet du courriel, ainsi que le nom et l’adresse exact du candidat dans le corps du texte.</w:t>
      </w:r>
    </w:p>
    <w:p w:rsidR="00017091" w:rsidRPr="001D7587" w:rsidRDefault="00017091"/>
    <w:p w:rsidR="00E3276F" w:rsidRPr="001D7587" w:rsidRDefault="00E3276F" w:rsidP="00A84FFE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22" w:name="_Toc424823983"/>
      <w:r w:rsidRPr="001D7587">
        <w:rPr>
          <w:rFonts w:asciiTheme="minorHAnsi" w:hAnsiTheme="minorHAnsi"/>
          <w:color w:val="auto"/>
          <w:sz w:val="22"/>
          <w:szCs w:val="22"/>
        </w:rPr>
        <w:t>Appréciation des offres</w:t>
      </w:r>
      <w:r w:rsidR="000A410B" w:rsidRPr="001D7587">
        <w:rPr>
          <w:rFonts w:asciiTheme="minorHAnsi" w:hAnsiTheme="minorHAnsi"/>
          <w:color w:val="auto"/>
          <w:sz w:val="22"/>
          <w:szCs w:val="22"/>
        </w:rPr>
        <w:t xml:space="preserve"> et sélection</w:t>
      </w:r>
      <w:bookmarkEnd w:id="22"/>
    </w:p>
    <w:p w:rsidR="00E47DF3" w:rsidRPr="001D7587" w:rsidRDefault="00975B1E" w:rsidP="00A84FFE">
      <w:pPr>
        <w:jc w:val="both"/>
      </w:pPr>
      <w:r w:rsidRPr="001D7587">
        <w:t>Le département Pilotage du Pôle Affaires Européennes</w:t>
      </w:r>
      <w:r w:rsidR="001456F5" w:rsidRPr="001D7587">
        <w:t>,</w:t>
      </w:r>
      <w:r w:rsidR="00435E2E" w:rsidRPr="001D7587">
        <w:t xml:space="preserve"> les services métiers de la R</w:t>
      </w:r>
      <w:r w:rsidR="00026815" w:rsidRPr="001D7587">
        <w:t>égion</w:t>
      </w:r>
      <w:r w:rsidR="004853B3" w:rsidRPr="001D7587">
        <w:t xml:space="preserve"> et du D</w:t>
      </w:r>
      <w:r w:rsidR="00BF71DD" w:rsidRPr="001D7587">
        <w:t>épartement</w:t>
      </w:r>
      <w:r w:rsidR="00026815" w:rsidRPr="001D7587">
        <w:t>,</w:t>
      </w:r>
      <w:r w:rsidR="00DB2EEE" w:rsidRPr="001D7587">
        <w:t xml:space="preserve"> la DIECCTE</w:t>
      </w:r>
      <w:r w:rsidR="00260F63" w:rsidRPr="001D7587">
        <w:t>,</w:t>
      </w:r>
      <w:r w:rsidR="00904D7C" w:rsidRPr="001D7587">
        <w:t xml:space="preserve"> l</w:t>
      </w:r>
      <w:r w:rsidR="00CD6A36" w:rsidRPr="001D7587">
        <w:t>e</w:t>
      </w:r>
      <w:r w:rsidR="00826B80" w:rsidRPr="001D7587">
        <w:t>s services de l’Etat</w:t>
      </w:r>
      <w:r w:rsidR="00260F63" w:rsidRPr="001D7587">
        <w:t xml:space="preserve"> et </w:t>
      </w:r>
      <w:r w:rsidR="00EA0B7F" w:rsidRPr="001D7587">
        <w:t>toute</w:t>
      </w:r>
      <w:r w:rsidR="00260F63" w:rsidRPr="001D7587">
        <w:t xml:space="preserve"> autre entité </w:t>
      </w:r>
      <w:r w:rsidR="00826B80" w:rsidRPr="001D7587">
        <w:t>compétent</w:t>
      </w:r>
      <w:r w:rsidR="00260F63" w:rsidRPr="001D7587">
        <w:t>e</w:t>
      </w:r>
      <w:r w:rsidR="00345FB3" w:rsidRPr="001D7587">
        <w:t xml:space="preserve"> </w:t>
      </w:r>
      <w:r w:rsidR="002441B5" w:rsidRPr="001D7587">
        <w:t>seront</w:t>
      </w:r>
      <w:r w:rsidRPr="001D7587">
        <w:t xml:space="preserve"> en charge de l’ouverture des candidatures</w:t>
      </w:r>
      <w:r w:rsidR="005F42FD" w:rsidRPr="001D7587">
        <w:t xml:space="preserve"> et</w:t>
      </w:r>
      <w:r w:rsidRPr="001D7587">
        <w:t xml:space="preserve"> de la pré-analyse des dossiers de soumission</w:t>
      </w:r>
      <w:r w:rsidR="005F42FD" w:rsidRPr="001D7587">
        <w:t xml:space="preserve">. </w:t>
      </w:r>
    </w:p>
    <w:p w:rsidR="00975B1E" w:rsidRPr="001D7587" w:rsidRDefault="005F42FD" w:rsidP="00A84FFE">
      <w:pPr>
        <w:jc w:val="both"/>
      </w:pPr>
      <w:r w:rsidRPr="001D7587">
        <w:t>Le département pilotage présentera</w:t>
      </w:r>
      <w:r w:rsidR="00345FB3" w:rsidRPr="001D7587">
        <w:t xml:space="preserve"> </w:t>
      </w:r>
      <w:r w:rsidRPr="001D7587">
        <w:t>l</w:t>
      </w:r>
      <w:r w:rsidR="00975B1E" w:rsidRPr="001D7587">
        <w:t xml:space="preserve">es dossiers </w:t>
      </w:r>
      <w:r w:rsidRPr="001D7587">
        <w:t xml:space="preserve">et la pré-analyse conjointe </w:t>
      </w:r>
      <w:r w:rsidR="00975B1E" w:rsidRPr="001D7587">
        <w:t>au Comité de pilotage et de synthèse suivant la date limite de candidature.</w:t>
      </w:r>
    </w:p>
    <w:p w:rsidR="00975B1E" w:rsidRPr="001D7587" w:rsidRDefault="00975B1E" w:rsidP="00A84FFE">
      <w:pPr>
        <w:jc w:val="both"/>
      </w:pPr>
      <w:r w:rsidRPr="001D7587">
        <w:t>Ce</w:t>
      </w:r>
      <w:r w:rsidR="004853B3" w:rsidRPr="001D7587">
        <w:t xml:space="preserve"> Comité de Pilotage et de S</w:t>
      </w:r>
      <w:r w:rsidR="00D81A99" w:rsidRPr="001D7587">
        <w:t>ynthèse</w:t>
      </w:r>
      <w:r w:rsidRPr="001D7587">
        <w:t>, constitué des  membres du pa</w:t>
      </w:r>
      <w:r w:rsidR="00260F63" w:rsidRPr="001D7587">
        <w:t xml:space="preserve">rtenariat – Région, Département, </w:t>
      </w:r>
      <w:r w:rsidR="00CB7D85" w:rsidRPr="001D7587">
        <w:t>CNES,</w:t>
      </w:r>
      <w:r w:rsidR="00260F63" w:rsidRPr="001D7587">
        <w:t xml:space="preserve"> </w:t>
      </w:r>
      <w:r w:rsidR="0025679C" w:rsidRPr="001D7587">
        <w:t>et Etat</w:t>
      </w:r>
      <w:r w:rsidR="00D81A99" w:rsidRPr="001D7587">
        <w:t xml:space="preserve"> évaluera la pertinence des offres et procédera à la </w:t>
      </w:r>
      <w:r w:rsidRPr="001D7587">
        <w:t xml:space="preserve">classification et </w:t>
      </w:r>
      <w:r w:rsidR="00D81A99" w:rsidRPr="001D7587">
        <w:t>sélection des meilleurs dossiers</w:t>
      </w:r>
      <w:r w:rsidRPr="001D7587">
        <w:t xml:space="preserve"> selon les critères déterminés au point </w:t>
      </w:r>
      <w:r w:rsidR="002441B5" w:rsidRPr="001D7587">
        <w:t>5</w:t>
      </w:r>
      <w:r w:rsidRPr="001D7587">
        <w:t>.</w:t>
      </w:r>
      <w:r w:rsidR="002441B5" w:rsidRPr="001D7587">
        <w:t>d</w:t>
      </w:r>
      <w:r w:rsidRPr="001D7587">
        <w:t>. du présent document</w:t>
      </w:r>
      <w:r w:rsidR="00D81A99" w:rsidRPr="001D7587">
        <w:t xml:space="preserve">. </w:t>
      </w:r>
    </w:p>
    <w:p w:rsidR="00AE5E54" w:rsidRPr="001D7587" w:rsidRDefault="00AE5E54" w:rsidP="00A84FFE">
      <w:pPr>
        <w:jc w:val="both"/>
      </w:pPr>
    </w:p>
    <w:p w:rsidR="006A68E3" w:rsidRPr="001D7587" w:rsidRDefault="006A68E3" w:rsidP="00A84FFE">
      <w:pPr>
        <w:pStyle w:val="Titre2"/>
        <w:numPr>
          <w:ilvl w:val="0"/>
          <w:numId w:val="37"/>
        </w:numPr>
        <w:ind w:left="1418"/>
        <w:rPr>
          <w:rFonts w:asciiTheme="minorHAnsi" w:hAnsiTheme="minorHAnsi"/>
          <w:color w:val="auto"/>
          <w:sz w:val="22"/>
          <w:szCs w:val="22"/>
        </w:rPr>
      </w:pPr>
      <w:bookmarkStart w:id="23" w:name="_Toc417033504"/>
      <w:bookmarkStart w:id="24" w:name="_Toc417034142"/>
      <w:bookmarkStart w:id="25" w:name="_Toc417035559"/>
      <w:bookmarkStart w:id="26" w:name="_Toc417035813"/>
      <w:bookmarkStart w:id="27" w:name="_Toc417040842"/>
      <w:bookmarkStart w:id="28" w:name="_Toc417456624"/>
      <w:bookmarkStart w:id="29" w:name="_Toc417033505"/>
      <w:bookmarkStart w:id="30" w:name="_Toc417034143"/>
      <w:bookmarkStart w:id="31" w:name="_Toc417035560"/>
      <w:bookmarkStart w:id="32" w:name="_Toc417035814"/>
      <w:bookmarkStart w:id="33" w:name="_Toc417040843"/>
      <w:bookmarkStart w:id="34" w:name="_Toc417456625"/>
      <w:bookmarkStart w:id="35" w:name="_Toc417033506"/>
      <w:bookmarkStart w:id="36" w:name="_Toc417034144"/>
      <w:bookmarkStart w:id="37" w:name="_Toc417035561"/>
      <w:bookmarkStart w:id="38" w:name="_Toc417035815"/>
      <w:bookmarkStart w:id="39" w:name="_Toc417040844"/>
      <w:bookmarkStart w:id="40" w:name="_Toc417456626"/>
      <w:bookmarkStart w:id="41" w:name="_Toc42482398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1D7587">
        <w:rPr>
          <w:rFonts w:asciiTheme="minorHAnsi" w:hAnsiTheme="minorHAnsi"/>
          <w:color w:val="auto"/>
          <w:sz w:val="22"/>
          <w:szCs w:val="22"/>
        </w:rPr>
        <w:t>Calendrier prévisionnel</w:t>
      </w:r>
      <w:r w:rsidR="00103CD5" w:rsidRPr="001D7587">
        <w:rPr>
          <w:rFonts w:asciiTheme="minorHAnsi" w:hAnsiTheme="minorHAnsi"/>
          <w:color w:val="auto"/>
          <w:sz w:val="22"/>
          <w:szCs w:val="22"/>
        </w:rPr>
        <w:t xml:space="preserve"> – schéma du mode opératoire retenu</w:t>
      </w:r>
      <w:bookmarkEnd w:id="41"/>
    </w:p>
    <w:p w:rsidR="006A68E3" w:rsidRPr="001D7587" w:rsidRDefault="006A68E3">
      <w:pPr>
        <w:rPr>
          <w:b/>
        </w:rPr>
      </w:pPr>
      <w:r w:rsidRPr="001D7587">
        <w:rPr>
          <w:b/>
        </w:rPr>
        <w:t xml:space="preserve">Lancement AMI : </w:t>
      </w:r>
      <w:r w:rsidR="00010787" w:rsidRPr="001D7587">
        <w:rPr>
          <w:b/>
        </w:rPr>
        <w:t>le</w:t>
      </w:r>
      <w:r w:rsidR="007C4F7F" w:rsidRPr="001D7587">
        <w:rPr>
          <w:b/>
        </w:rPr>
        <w:t xml:space="preserve"> 17</w:t>
      </w:r>
      <w:r w:rsidR="00D067FE" w:rsidRPr="001D7587">
        <w:rPr>
          <w:b/>
        </w:rPr>
        <w:t xml:space="preserve"> juillet</w:t>
      </w:r>
      <w:r w:rsidR="00260F63" w:rsidRPr="001D7587">
        <w:rPr>
          <w:b/>
        </w:rPr>
        <w:t xml:space="preserve"> 2015</w:t>
      </w:r>
    </w:p>
    <w:p w:rsidR="006A68E3" w:rsidRPr="001D7587" w:rsidRDefault="006A68E3">
      <w:pPr>
        <w:rPr>
          <w:b/>
        </w:rPr>
      </w:pPr>
      <w:r w:rsidRPr="001D7587">
        <w:rPr>
          <w:b/>
        </w:rPr>
        <w:t xml:space="preserve">Date limite de réception des projets : </w:t>
      </w:r>
      <w:r w:rsidR="00AE5E54" w:rsidRPr="001D7587">
        <w:rPr>
          <w:b/>
        </w:rPr>
        <w:t>le</w:t>
      </w:r>
      <w:r w:rsidR="00260F63" w:rsidRPr="001D7587">
        <w:rPr>
          <w:b/>
        </w:rPr>
        <w:t xml:space="preserve"> 30 SEPTEMBRE</w:t>
      </w:r>
      <w:r w:rsidR="00026815" w:rsidRPr="001D7587">
        <w:rPr>
          <w:b/>
        </w:rPr>
        <w:t xml:space="preserve"> 2015</w:t>
      </w:r>
      <w:r w:rsidR="00826B80" w:rsidRPr="001D7587">
        <w:rPr>
          <w:b/>
        </w:rPr>
        <w:t xml:space="preserve"> à 12h (heure de Guyane)</w:t>
      </w:r>
    </w:p>
    <w:p w:rsidR="006A68E3" w:rsidRPr="001D7587" w:rsidRDefault="006A68E3" w:rsidP="00826B80">
      <w:pPr>
        <w:tabs>
          <w:tab w:val="right" w:pos="9072"/>
        </w:tabs>
        <w:rPr>
          <w:b/>
        </w:rPr>
      </w:pPr>
      <w:r w:rsidRPr="001D7587">
        <w:rPr>
          <w:b/>
        </w:rPr>
        <w:t>Choix des candidats :</w:t>
      </w:r>
      <w:r w:rsidR="00260F63" w:rsidRPr="001D7587">
        <w:rPr>
          <w:b/>
        </w:rPr>
        <w:t xml:space="preserve"> 06 NOVEMRE</w:t>
      </w:r>
      <w:r w:rsidR="00026815" w:rsidRPr="001D7587">
        <w:rPr>
          <w:b/>
        </w:rPr>
        <w:t xml:space="preserve"> 2015</w:t>
      </w:r>
      <w:r w:rsidR="00826B80" w:rsidRPr="001D7587">
        <w:rPr>
          <w:b/>
        </w:rPr>
        <w:tab/>
      </w:r>
    </w:p>
    <w:p w:rsidR="00B8522F" w:rsidRPr="001D7587" w:rsidRDefault="006A68E3" w:rsidP="00095097">
      <w:r w:rsidRPr="001D7587">
        <w:t>Le schéma suivant précise le phasage du mode opératoire retenu :</w:t>
      </w:r>
    </w:p>
    <w:p w:rsidR="00DB107C" w:rsidRDefault="00075D80" w:rsidP="00103CD5">
      <w:pPr>
        <w:tabs>
          <w:tab w:val="left" w:pos="5730"/>
        </w:tabs>
      </w:pPr>
      <w:r>
        <w:rPr>
          <w:noProof/>
        </w:rPr>
        <w:pict>
          <v:roundrect id="Rectangle à coins arrondis 12" o:spid="_x0000_s1027" style="position:absolute;margin-left:262.5pt;margin-top:318.95pt;width:180pt;height:48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stroke joinstyle="miter"/>
            <v:textbox style="mso-next-textbox:#Rectangle à coins arrondis 12">
              <w:txbxContent>
                <w:p w:rsidR="00E44D00" w:rsidRDefault="00E44D00" w:rsidP="00C3285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3285E">
                    <w:rPr>
                      <w:rFonts w:asciiTheme="minorHAnsi" w:hAnsi="Calibri" w:cstheme="minorBidi"/>
                      <w:color w:val="000000" w:themeColor="dark1"/>
                      <w:kern w:val="24"/>
                      <w:sz w:val="16"/>
                      <w:szCs w:val="16"/>
                    </w:rPr>
                    <w:t xml:space="preserve">7b. Les candidats non retenus ne pourront pas déposer de dossier de demande d’aide </w:t>
                  </w:r>
                  <w:r>
                    <w:rPr>
                      <w:rFonts w:asciiTheme="minorHAnsi" w:hAnsi="Calibri" w:cstheme="minorBidi"/>
                      <w:color w:val="000000" w:themeColor="dark1"/>
                      <w:kern w:val="24"/>
                      <w:sz w:val="16"/>
                      <w:szCs w:val="16"/>
                    </w:rPr>
                    <w:t>au FEDER</w:t>
                  </w:r>
                  <w:r w:rsidRPr="00C3285E">
                    <w:rPr>
                      <w:rFonts w:asciiTheme="minorHAnsi" w:hAnsi="Calibri" w:cstheme="minorBidi"/>
                      <w:color w:val="000000" w:themeColor="dark1"/>
                      <w:kern w:val="24"/>
                      <w:sz w:val="16"/>
                      <w:szCs w:val="16"/>
                    </w:rPr>
                    <w:t xml:space="preserve"> et devront attendre un prochain appel à manifestation d’intérêt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3" o:spid="_x0000_s1026" type="#_x0000_t13" style="position:absolute;margin-left:312pt;margin-top:303pt;width:22.1pt;height:12.15pt;rotation:1641097fd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" adj="15664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</v:shape>
        </w:pict>
      </w:r>
      <w:r w:rsidR="0003206E">
        <w:rPr>
          <w:noProof/>
          <w:lang w:eastAsia="fr-FR"/>
        </w:rPr>
        <w:drawing>
          <wp:inline distT="0" distB="0" distL="0" distR="0" wp14:anchorId="4A3AE62B" wp14:editId="509CE214">
            <wp:extent cx="5760720" cy="6438900"/>
            <wp:effectExtent l="0" t="0" r="1143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50A8B" w:rsidRDefault="00050A8B" w:rsidP="00103CD5">
      <w:pPr>
        <w:tabs>
          <w:tab w:val="left" w:pos="5730"/>
        </w:tabs>
      </w:pPr>
    </w:p>
    <w:p w:rsidR="00F46AA3" w:rsidRDefault="00103CD5" w:rsidP="00103CD5">
      <w:pPr>
        <w:tabs>
          <w:tab w:val="left" w:pos="5730"/>
        </w:tabs>
        <w:rPr>
          <w:b/>
        </w:rPr>
      </w:pPr>
      <w:r w:rsidRPr="006F30B0">
        <w:rPr>
          <w:b/>
        </w:rPr>
        <w:t>Date prévisionnelle du prochain appel à manifestation</w:t>
      </w:r>
      <w:r w:rsidR="00DB2EEE">
        <w:rPr>
          <w:b/>
        </w:rPr>
        <w:t>« Aides aux entreprises</w:t>
      </w:r>
      <w:r w:rsidR="00A82415">
        <w:rPr>
          <w:b/>
        </w:rPr>
        <w:t> »</w:t>
      </w:r>
      <w:r w:rsidRPr="006F30B0">
        <w:rPr>
          <w:b/>
        </w:rPr>
        <w:t> :</w:t>
      </w:r>
      <w:r w:rsidR="00EA0B7F">
        <w:rPr>
          <w:b/>
        </w:rPr>
        <w:t xml:space="preserve"> </w:t>
      </w:r>
      <w:r w:rsidR="007F6D3F">
        <w:rPr>
          <w:b/>
        </w:rPr>
        <w:t>Mars 2016</w:t>
      </w:r>
    </w:p>
    <w:p w:rsidR="00F46AA3" w:rsidRDefault="00F46AA3">
      <w:pPr>
        <w:rPr>
          <w:b/>
        </w:rPr>
      </w:pPr>
      <w:r>
        <w:rPr>
          <w:b/>
        </w:rPr>
        <w:br w:type="page"/>
      </w:r>
    </w:p>
    <w:p w:rsidR="00F46AA3" w:rsidRPr="001D7587" w:rsidRDefault="00F46AA3" w:rsidP="00F46AA3">
      <w:pPr>
        <w:pStyle w:val="Titre10"/>
        <w:numPr>
          <w:ilvl w:val="0"/>
          <w:numId w:val="19"/>
        </w:numPr>
        <w:rPr>
          <w:rFonts w:asciiTheme="minorHAnsi" w:hAnsiTheme="minorHAnsi"/>
          <w:b/>
          <w:color w:val="auto"/>
          <w:sz w:val="22"/>
          <w:szCs w:val="22"/>
        </w:rPr>
      </w:pPr>
      <w:bookmarkStart w:id="42" w:name="_Annexes"/>
      <w:bookmarkStart w:id="43" w:name="_Toc424823985"/>
      <w:bookmarkEnd w:id="42"/>
      <w:r w:rsidRPr="001D7587">
        <w:rPr>
          <w:rFonts w:asciiTheme="minorHAnsi" w:hAnsiTheme="minorHAnsi"/>
          <w:b/>
          <w:color w:val="auto"/>
          <w:sz w:val="22"/>
          <w:szCs w:val="22"/>
        </w:rPr>
        <w:t>Annexes</w:t>
      </w:r>
      <w:bookmarkEnd w:id="43"/>
    </w:p>
    <w:p w:rsidR="00F46AA3" w:rsidRPr="001D7587" w:rsidRDefault="00F46AA3" w:rsidP="00F46AA3">
      <w:pPr>
        <w:tabs>
          <w:tab w:val="left" w:pos="5730"/>
        </w:tabs>
        <w:spacing w:after="0"/>
        <w:jc w:val="both"/>
      </w:pPr>
    </w:p>
    <w:p w:rsidR="00F75BC9" w:rsidRPr="001D7587" w:rsidRDefault="00F46AA3" w:rsidP="001D7587">
      <w:pPr>
        <w:pStyle w:val="Paragraphedeliste"/>
        <w:numPr>
          <w:ilvl w:val="0"/>
          <w:numId w:val="24"/>
        </w:numPr>
        <w:tabs>
          <w:tab w:val="left" w:pos="5730"/>
        </w:tabs>
        <w:spacing w:after="0"/>
        <w:jc w:val="both"/>
      </w:pPr>
      <w:r w:rsidRPr="001D7587">
        <w:t>Projet décret fixant les règles nationales d’éligibilité des dépenses dans le cadre des programmes cofinancés par les fonds européens structurels et d’investissement (FEDER, FSE, FEADER, FEAMP) pour la période 2014-2020</w:t>
      </w:r>
    </w:p>
    <w:p w:rsidR="00F46AA3" w:rsidRPr="001D7587" w:rsidRDefault="00F46AA3" w:rsidP="00F46AA3">
      <w:pPr>
        <w:tabs>
          <w:tab w:val="left" w:pos="5730"/>
        </w:tabs>
        <w:spacing w:after="0"/>
        <w:jc w:val="both"/>
      </w:pPr>
    </w:p>
    <w:p w:rsidR="00F46AA3" w:rsidRPr="001D7587" w:rsidRDefault="00537F5D" w:rsidP="001D7587">
      <w:pPr>
        <w:pStyle w:val="Paragraphedeliste"/>
        <w:numPr>
          <w:ilvl w:val="0"/>
          <w:numId w:val="24"/>
        </w:numPr>
        <w:tabs>
          <w:tab w:val="left" w:pos="5730"/>
        </w:tabs>
        <w:spacing w:after="0"/>
        <w:jc w:val="both"/>
      </w:pPr>
      <w:r w:rsidRPr="001D7587">
        <w:t>Fiche OS3 du PO FEDER-FSE 2014-2020</w:t>
      </w:r>
    </w:p>
    <w:sectPr w:rsidR="00F46AA3" w:rsidRPr="001D7587" w:rsidSect="004B7EA5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00" w:rsidRDefault="00E44D00" w:rsidP="001C34F8">
      <w:pPr>
        <w:spacing w:after="0" w:line="240" w:lineRule="auto"/>
      </w:pPr>
      <w:r>
        <w:separator/>
      </w:r>
    </w:p>
  </w:endnote>
  <w:endnote w:type="continuationSeparator" w:id="0">
    <w:p w:rsidR="00E44D00" w:rsidRDefault="00E44D00" w:rsidP="001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111993"/>
      <w:docPartObj>
        <w:docPartGallery w:val="Page Numbers (Bottom of Page)"/>
        <w:docPartUnique/>
      </w:docPartObj>
    </w:sdtPr>
    <w:sdtEndPr/>
    <w:sdtContent>
      <w:p w:rsidR="00E44D00" w:rsidRDefault="00075D80" w:rsidP="00013172">
        <w:pPr>
          <w:pStyle w:val="Pieddepage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228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1465A8" w:rsidRDefault="001465A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75D80" w:rsidRPr="00075D8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1465A8">
          <w:t>N°02/ 2015/ OS3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00" w:rsidRDefault="00E44D00" w:rsidP="001C34F8">
      <w:pPr>
        <w:spacing w:after="0" w:line="240" w:lineRule="auto"/>
      </w:pPr>
      <w:r>
        <w:separator/>
      </w:r>
    </w:p>
  </w:footnote>
  <w:footnote w:type="continuationSeparator" w:id="0">
    <w:p w:rsidR="00E44D00" w:rsidRDefault="00E44D00" w:rsidP="001C34F8">
      <w:pPr>
        <w:spacing w:after="0" w:line="240" w:lineRule="auto"/>
      </w:pPr>
      <w:r>
        <w:continuationSeparator/>
      </w:r>
    </w:p>
  </w:footnote>
  <w:footnote w:id="1">
    <w:p w:rsidR="00E44D00" w:rsidRPr="008E47C4" w:rsidRDefault="00E44D00" w:rsidP="00C3285E">
      <w:pPr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 w:rsidRPr="008E47C4">
        <w:rPr>
          <w:sz w:val="20"/>
          <w:szCs w:val="20"/>
        </w:rPr>
        <w:t>Définition des PME : Les catégories d’entreprises sont définies à l’annexe</w:t>
      </w:r>
      <w:r>
        <w:rPr>
          <w:sz w:val="20"/>
          <w:szCs w:val="20"/>
        </w:rPr>
        <w:t xml:space="preserve"> I </w:t>
      </w:r>
      <w:r w:rsidRPr="008E47C4">
        <w:rPr>
          <w:sz w:val="20"/>
          <w:szCs w:val="20"/>
        </w:rPr>
        <w:t>du règlement (UE) de la commission n°651/2014 du 17 juin 2014.</w:t>
      </w:r>
    </w:p>
    <w:p w:rsidR="00E44D00" w:rsidRDefault="00E44D00" w:rsidP="00C3285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7C5"/>
    <w:multiLevelType w:val="hybridMultilevel"/>
    <w:tmpl w:val="22709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057"/>
    <w:multiLevelType w:val="hybridMultilevel"/>
    <w:tmpl w:val="37540ABA"/>
    <w:lvl w:ilvl="0" w:tplc="2A9E7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006"/>
    <w:multiLevelType w:val="hybridMultilevel"/>
    <w:tmpl w:val="F686002E"/>
    <w:lvl w:ilvl="0" w:tplc="9DD225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283"/>
    <w:multiLevelType w:val="hybridMultilevel"/>
    <w:tmpl w:val="2B48C8AA"/>
    <w:lvl w:ilvl="0" w:tplc="D0109E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C4B0B"/>
    <w:multiLevelType w:val="hybridMultilevel"/>
    <w:tmpl w:val="ED3E214A"/>
    <w:lvl w:ilvl="0" w:tplc="1B8642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FC0"/>
    <w:multiLevelType w:val="hybridMultilevel"/>
    <w:tmpl w:val="AD88D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01116"/>
    <w:multiLevelType w:val="hybridMultilevel"/>
    <w:tmpl w:val="28AA69FE"/>
    <w:lvl w:ilvl="0" w:tplc="9820A8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71FD8"/>
    <w:multiLevelType w:val="hybridMultilevel"/>
    <w:tmpl w:val="5FB07430"/>
    <w:lvl w:ilvl="0" w:tplc="63D2F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0DA3"/>
    <w:multiLevelType w:val="hybridMultilevel"/>
    <w:tmpl w:val="728265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52AC"/>
    <w:multiLevelType w:val="hybridMultilevel"/>
    <w:tmpl w:val="9EB279C0"/>
    <w:lvl w:ilvl="0" w:tplc="54385F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C11"/>
    <w:multiLevelType w:val="hybridMultilevel"/>
    <w:tmpl w:val="546C1E5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E29891F2">
      <w:start w:val="1"/>
      <w:numFmt w:val="lowerLetter"/>
      <w:pStyle w:val="Styl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0C7F"/>
    <w:multiLevelType w:val="hybridMultilevel"/>
    <w:tmpl w:val="103C3EB6"/>
    <w:lvl w:ilvl="0" w:tplc="DAD8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B48"/>
    <w:multiLevelType w:val="hybridMultilevel"/>
    <w:tmpl w:val="74D219EC"/>
    <w:lvl w:ilvl="0" w:tplc="631C8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F38E2"/>
    <w:multiLevelType w:val="hybridMultilevel"/>
    <w:tmpl w:val="D0B42F3C"/>
    <w:lvl w:ilvl="0" w:tplc="63D2FA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6280E"/>
    <w:multiLevelType w:val="hybridMultilevel"/>
    <w:tmpl w:val="E4FE9108"/>
    <w:lvl w:ilvl="0" w:tplc="4474A49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2165"/>
    <w:multiLevelType w:val="multilevel"/>
    <w:tmpl w:val="B72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A7AFB"/>
    <w:multiLevelType w:val="hybridMultilevel"/>
    <w:tmpl w:val="67CA17B0"/>
    <w:lvl w:ilvl="0" w:tplc="480E90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45AF"/>
    <w:multiLevelType w:val="hybridMultilevel"/>
    <w:tmpl w:val="67CA17B0"/>
    <w:lvl w:ilvl="0" w:tplc="480E90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130B9"/>
    <w:multiLevelType w:val="hybridMultilevel"/>
    <w:tmpl w:val="AB4E5E1A"/>
    <w:lvl w:ilvl="0" w:tplc="63D2FA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D1AA4"/>
    <w:multiLevelType w:val="hybridMultilevel"/>
    <w:tmpl w:val="69F8E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680E"/>
    <w:multiLevelType w:val="hybridMultilevel"/>
    <w:tmpl w:val="810877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B2CD5"/>
    <w:multiLevelType w:val="hybridMultilevel"/>
    <w:tmpl w:val="4A26E056"/>
    <w:lvl w:ilvl="0" w:tplc="2A9E77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1CC0"/>
    <w:multiLevelType w:val="hybridMultilevel"/>
    <w:tmpl w:val="64EAFF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732B"/>
    <w:multiLevelType w:val="hybridMultilevel"/>
    <w:tmpl w:val="23480968"/>
    <w:lvl w:ilvl="0" w:tplc="1B8642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E51E9"/>
    <w:multiLevelType w:val="hybridMultilevel"/>
    <w:tmpl w:val="3A46FC74"/>
    <w:lvl w:ilvl="0" w:tplc="2A9E7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4064"/>
    <w:multiLevelType w:val="hybridMultilevel"/>
    <w:tmpl w:val="3316475A"/>
    <w:lvl w:ilvl="0" w:tplc="9DD225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14D4"/>
    <w:multiLevelType w:val="hybridMultilevel"/>
    <w:tmpl w:val="1270982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05500"/>
    <w:multiLevelType w:val="hybridMultilevel"/>
    <w:tmpl w:val="60B43CB0"/>
    <w:lvl w:ilvl="0" w:tplc="87D0CB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4114F"/>
    <w:multiLevelType w:val="multilevel"/>
    <w:tmpl w:val="643E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44F86"/>
    <w:multiLevelType w:val="hybridMultilevel"/>
    <w:tmpl w:val="555AF3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5CF1"/>
    <w:multiLevelType w:val="hybridMultilevel"/>
    <w:tmpl w:val="98380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0C97"/>
    <w:multiLevelType w:val="hybridMultilevel"/>
    <w:tmpl w:val="3ABCB36A"/>
    <w:lvl w:ilvl="0" w:tplc="63D2FAE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E554032"/>
    <w:multiLevelType w:val="hybridMultilevel"/>
    <w:tmpl w:val="1788435C"/>
    <w:lvl w:ilvl="0" w:tplc="E926F19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5E23"/>
    <w:multiLevelType w:val="hybridMultilevel"/>
    <w:tmpl w:val="FF9E1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4BF2"/>
    <w:multiLevelType w:val="hybridMultilevel"/>
    <w:tmpl w:val="92929472"/>
    <w:lvl w:ilvl="0" w:tplc="9462FAB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815A0"/>
    <w:multiLevelType w:val="hybridMultilevel"/>
    <w:tmpl w:val="79681DD6"/>
    <w:lvl w:ilvl="0" w:tplc="2D0208D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E212E"/>
    <w:multiLevelType w:val="hybridMultilevel"/>
    <w:tmpl w:val="388EFBE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29"/>
  </w:num>
  <w:num w:numId="5">
    <w:abstractNumId w:val="26"/>
  </w:num>
  <w:num w:numId="6">
    <w:abstractNumId w:val="14"/>
  </w:num>
  <w:num w:numId="7">
    <w:abstractNumId w:val="20"/>
  </w:num>
  <w:num w:numId="8">
    <w:abstractNumId w:val="10"/>
  </w:num>
  <w:num w:numId="9">
    <w:abstractNumId w:val="32"/>
  </w:num>
  <w:num w:numId="10">
    <w:abstractNumId w:val="0"/>
  </w:num>
  <w:num w:numId="11">
    <w:abstractNumId w:val="3"/>
  </w:num>
  <w:num w:numId="12">
    <w:abstractNumId w:val="36"/>
  </w:num>
  <w:num w:numId="13">
    <w:abstractNumId w:val="10"/>
    <w:lvlOverride w:ilvl="0">
      <w:lvl w:ilvl="0" w:tplc="040C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29891F2">
        <w:start w:val="1"/>
        <w:numFmt w:val="lowerLetter"/>
        <w:pStyle w:val="Style2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2"/>
  </w:num>
  <w:num w:numId="15">
    <w:abstractNumId w:val="14"/>
  </w:num>
  <w:num w:numId="16">
    <w:abstractNumId w:val="14"/>
  </w:num>
  <w:num w:numId="17">
    <w:abstractNumId w:val="14"/>
  </w:num>
  <w:num w:numId="18">
    <w:abstractNumId w:val="10"/>
  </w:num>
  <w:num w:numId="19">
    <w:abstractNumId w:val="2"/>
  </w:num>
  <w:num w:numId="20">
    <w:abstractNumId w:val="8"/>
  </w:num>
  <w:num w:numId="21">
    <w:abstractNumId w:val="9"/>
  </w:num>
  <w:num w:numId="22">
    <w:abstractNumId w:val="8"/>
    <w:lvlOverride w:ilvl="0">
      <w:lvl w:ilvl="0" w:tplc="040C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"/>
  </w:num>
  <w:num w:numId="24">
    <w:abstractNumId w:val="31"/>
  </w:num>
  <w:num w:numId="25">
    <w:abstractNumId w:val="18"/>
  </w:num>
  <w:num w:numId="26">
    <w:abstractNumId w:val="13"/>
  </w:num>
  <w:num w:numId="27">
    <w:abstractNumId w:val="17"/>
  </w:num>
  <w:num w:numId="28">
    <w:abstractNumId w:val="5"/>
  </w:num>
  <w:num w:numId="29">
    <w:abstractNumId w:val="19"/>
  </w:num>
  <w:num w:numId="30">
    <w:abstractNumId w:val="1"/>
  </w:num>
  <w:num w:numId="31">
    <w:abstractNumId w:val="21"/>
  </w:num>
  <w:num w:numId="32">
    <w:abstractNumId w:val="12"/>
  </w:num>
  <w:num w:numId="33">
    <w:abstractNumId w:val="16"/>
  </w:num>
  <w:num w:numId="34">
    <w:abstractNumId w:val="34"/>
  </w:num>
  <w:num w:numId="35">
    <w:abstractNumId w:val="24"/>
  </w:num>
  <w:num w:numId="36">
    <w:abstractNumId w:val="27"/>
  </w:num>
  <w:num w:numId="37">
    <w:abstractNumId w:val="35"/>
  </w:num>
  <w:num w:numId="38">
    <w:abstractNumId w:val="11"/>
  </w:num>
  <w:num w:numId="39">
    <w:abstractNumId w:val="15"/>
  </w:num>
  <w:num w:numId="40">
    <w:abstractNumId w:val="28"/>
  </w:num>
  <w:num w:numId="41">
    <w:abstractNumId w:val="30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6"/>
    <w:rsid w:val="00010787"/>
    <w:rsid w:val="00013172"/>
    <w:rsid w:val="00017091"/>
    <w:rsid w:val="00026815"/>
    <w:rsid w:val="00026F9B"/>
    <w:rsid w:val="0003206E"/>
    <w:rsid w:val="00046391"/>
    <w:rsid w:val="00050A8B"/>
    <w:rsid w:val="000679AB"/>
    <w:rsid w:val="00075D80"/>
    <w:rsid w:val="00092502"/>
    <w:rsid w:val="00095097"/>
    <w:rsid w:val="00095BBD"/>
    <w:rsid w:val="000A1120"/>
    <w:rsid w:val="000A27D3"/>
    <w:rsid w:val="000A370A"/>
    <w:rsid w:val="000A410B"/>
    <w:rsid w:val="000C653E"/>
    <w:rsid w:val="000E03D1"/>
    <w:rsid w:val="000E3E68"/>
    <w:rsid w:val="000E63D3"/>
    <w:rsid w:val="001026A2"/>
    <w:rsid w:val="00103CD5"/>
    <w:rsid w:val="00111DA6"/>
    <w:rsid w:val="001226D5"/>
    <w:rsid w:val="00132098"/>
    <w:rsid w:val="001455E1"/>
    <w:rsid w:val="001456F5"/>
    <w:rsid w:val="001457F8"/>
    <w:rsid w:val="001465A8"/>
    <w:rsid w:val="001567F4"/>
    <w:rsid w:val="001752FA"/>
    <w:rsid w:val="001757F0"/>
    <w:rsid w:val="00186E95"/>
    <w:rsid w:val="0019652C"/>
    <w:rsid w:val="00196C5F"/>
    <w:rsid w:val="001A1B76"/>
    <w:rsid w:val="001B00F2"/>
    <w:rsid w:val="001B4E54"/>
    <w:rsid w:val="001B546A"/>
    <w:rsid w:val="001B5818"/>
    <w:rsid w:val="001C34F8"/>
    <w:rsid w:val="001C3634"/>
    <w:rsid w:val="001D6210"/>
    <w:rsid w:val="001D7587"/>
    <w:rsid w:val="001E6781"/>
    <w:rsid w:val="001F3EEE"/>
    <w:rsid w:val="0020190A"/>
    <w:rsid w:val="00203967"/>
    <w:rsid w:val="002441B5"/>
    <w:rsid w:val="0024715E"/>
    <w:rsid w:val="0025679C"/>
    <w:rsid w:val="00260F63"/>
    <w:rsid w:val="002617FD"/>
    <w:rsid w:val="0027422E"/>
    <w:rsid w:val="00284FD8"/>
    <w:rsid w:val="002929DD"/>
    <w:rsid w:val="002A09DC"/>
    <w:rsid w:val="002A1625"/>
    <w:rsid w:val="002C789B"/>
    <w:rsid w:val="002E21D8"/>
    <w:rsid w:val="002F17A7"/>
    <w:rsid w:val="002F1DA7"/>
    <w:rsid w:val="002F2855"/>
    <w:rsid w:val="002F77F4"/>
    <w:rsid w:val="002F7D5C"/>
    <w:rsid w:val="0030135B"/>
    <w:rsid w:val="003051BF"/>
    <w:rsid w:val="00305BA6"/>
    <w:rsid w:val="003120F3"/>
    <w:rsid w:val="0032559D"/>
    <w:rsid w:val="00334F1E"/>
    <w:rsid w:val="003420D4"/>
    <w:rsid w:val="00345FB3"/>
    <w:rsid w:val="0034794A"/>
    <w:rsid w:val="003610F0"/>
    <w:rsid w:val="003670A1"/>
    <w:rsid w:val="00375790"/>
    <w:rsid w:val="00381901"/>
    <w:rsid w:val="00393726"/>
    <w:rsid w:val="003964E7"/>
    <w:rsid w:val="003A0DAF"/>
    <w:rsid w:val="003B4A14"/>
    <w:rsid w:val="003B76BD"/>
    <w:rsid w:val="003C3A4B"/>
    <w:rsid w:val="003D1124"/>
    <w:rsid w:val="003D2B04"/>
    <w:rsid w:val="003D53B2"/>
    <w:rsid w:val="003E0D10"/>
    <w:rsid w:val="003F6723"/>
    <w:rsid w:val="003F77CF"/>
    <w:rsid w:val="0040110A"/>
    <w:rsid w:val="00406B43"/>
    <w:rsid w:val="00415D0D"/>
    <w:rsid w:val="00435E2E"/>
    <w:rsid w:val="00441226"/>
    <w:rsid w:val="00446337"/>
    <w:rsid w:val="00451E84"/>
    <w:rsid w:val="00456AB5"/>
    <w:rsid w:val="00474224"/>
    <w:rsid w:val="004853B3"/>
    <w:rsid w:val="004930B2"/>
    <w:rsid w:val="004A0321"/>
    <w:rsid w:val="004A0F16"/>
    <w:rsid w:val="004A2847"/>
    <w:rsid w:val="004B1FCA"/>
    <w:rsid w:val="004B51A7"/>
    <w:rsid w:val="004B7EA5"/>
    <w:rsid w:val="004C2AD6"/>
    <w:rsid w:val="004C448A"/>
    <w:rsid w:val="004E23BF"/>
    <w:rsid w:val="004E3D1C"/>
    <w:rsid w:val="004F0197"/>
    <w:rsid w:val="004F2D1B"/>
    <w:rsid w:val="004F63B2"/>
    <w:rsid w:val="004F7150"/>
    <w:rsid w:val="005020A6"/>
    <w:rsid w:val="00510D52"/>
    <w:rsid w:val="00520775"/>
    <w:rsid w:val="0052338A"/>
    <w:rsid w:val="00536EB4"/>
    <w:rsid w:val="00537F5D"/>
    <w:rsid w:val="00541A26"/>
    <w:rsid w:val="0054587D"/>
    <w:rsid w:val="00547226"/>
    <w:rsid w:val="00551CEC"/>
    <w:rsid w:val="00566D5F"/>
    <w:rsid w:val="005672D2"/>
    <w:rsid w:val="005716FD"/>
    <w:rsid w:val="00573044"/>
    <w:rsid w:val="005834F4"/>
    <w:rsid w:val="00594BA7"/>
    <w:rsid w:val="005A582D"/>
    <w:rsid w:val="005A788B"/>
    <w:rsid w:val="005B10CD"/>
    <w:rsid w:val="005C0294"/>
    <w:rsid w:val="005E6F87"/>
    <w:rsid w:val="005E7122"/>
    <w:rsid w:val="005F42FD"/>
    <w:rsid w:val="0060220C"/>
    <w:rsid w:val="0060698F"/>
    <w:rsid w:val="00617E0E"/>
    <w:rsid w:val="006228D4"/>
    <w:rsid w:val="00624F91"/>
    <w:rsid w:val="00633F0C"/>
    <w:rsid w:val="00672390"/>
    <w:rsid w:val="006735BE"/>
    <w:rsid w:val="00674398"/>
    <w:rsid w:val="00682ACE"/>
    <w:rsid w:val="00696388"/>
    <w:rsid w:val="006A68E3"/>
    <w:rsid w:val="006C1945"/>
    <w:rsid w:val="006E4FC4"/>
    <w:rsid w:val="006F30B0"/>
    <w:rsid w:val="006F66F8"/>
    <w:rsid w:val="006F6DFF"/>
    <w:rsid w:val="00707228"/>
    <w:rsid w:val="00713EFE"/>
    <w:rsid w:val="00721D4E"/>
    <w:rsid w:val="0073030D"/>
    <w:rsid w:val="007649FE"/>
    <w:rsid w:val="00772B2A"/>
    <w:rsid w:val="0077307D"/>
    <w:rsid w:val="00783776"/>
    <w:rsid w:val="007A37B6"/>
    <w:rsid w:val="007B03F6"/>
    <w:rsid w:val="007B7467"/>
    <w:rsid w:val="007C4F7F"/>
    <w:rsid w:val="007C7167"/>
    <w:rsid w:val="007E4FB1"/>
    <w:rsid w:val="007F3B31"/>
    <w:rsid w:val="007F6D3F"/>
    <w:rsid w:val="007F7220"/>
    <w:rsid w:val="008060A2"/>
    <w:rsid w:val="00813CF1"/>
    <w:rsid w:val="00816532"/>
    <w:rsid w:val="00822BE6"/>
    <w:rsid w:val="008251DD"/>
    <w:rsid w:val="0082608B"/>
    <w:rsid w:val="00826B80"/>
    <w:rsid w:val="00833452"/>
    <w:rsid w:val="00833B20"/>
    <w:rsid w:val="00837887"/>
    <w:rsid w:val="00837BDF"/>
    <w:rsid w:val="008416A6"/>
    <w:rsid w:val="00851973"/>
    <w:rsid w:val="0085227C"/>
    <w:rsid w:val="00853702"/>
    <w:rsid w:val="008712DB"/>
    <w:rsid w:val="00877860"/>
    <w:rsid w:val="00881D4F"/>
    <w:rsid w:val="008A0AC1"/>
    <w:rsid w:val="008B4E94"/>
    <w:rsid w:val="008C6907"/>
    <w:rsid w:val="008C75FB"/>
    <w:rsid w:val="008E47C4"/>
    <w:rsid w:val="009023FA"/>
    <w:rsid w:val="00904D7C"/>
    <w:rsid w:val="00910E60"/>
    <w:rsid w:val="00944318"/>
    <w:rsid w:val="00975B1E"/>
    <w:rsid w:val="009A4597"/>
    <w:rsid w:val="009B5D7B"/>
    <w:rsid w:val="009B64F8"/>
    <w:rsid w:val="009B6F26"/>
    <w:rsid w:val="009C27A6"/>
    <w:rsid w:val="009C38BC"/>
    <w:rsid w:val="009D1525"/>
    <w:rsid w:val="009D427C"/>
    <w:rsid w:val="009D60B4"/>
    <w:rsid w:val="009F2E09"/>
    <w:rsid w:val="00A07418"/>
    <w:rsid w:val="00A15D0E"/>
    <w:rsid w:val="00A15F9A"/>
    <w:rsid w:val="00A27DE9"/>
    <w:rsid w:val="00A463CE"/>
    <w:rsid w:val="00A46CFC"/>
    <w:rsid w:val="00A8040A"/>
    <w:rsid w:val="00A80676"/>
    <w:rsid w:val="00A82415"/>
    <w:rsid w:val="00A84FFE"/>
    <w:rsid w:val="00A86A7D"/>
    <w:rsid w:val="00A92D2E"/>
    <w:rsid w:val="00AA0AF2"/>
    <w:rsid w:val="00AA5391"/>
    <w:rsid w:val="00AA7C50"/>
    <w:rsid w:val="00AB2718"/>
    <w:rsid w:val="00AD0928"/>
    <w:rsid w:val="00AD2A56"/>
    <w:rsid w:val="00AE4BA7"/>
    <w:rsid w:val="00AE5474"/>
    <w:rsid w:val="00AE5E54"/>
    <w:rsid w:val="00B0117F"/>
    <w:rsid w:val="00B141E2"/>
    <w:rsid w:val="00B21B7A"/>
    <w:rsid w:val="00B44856"/>
    <w:rsid w:val="00B558CC"/>
    <w:rsid w:val="00B67107"/>
    <w:rsid w:val="00B8522F"/>
    <w:rsid w:val="00B8607E"/>
    <w:rsid w:val="00BA220B"/>
    <w:rsid w:val="00BB5877"/>
    <w:rsid w:val="00BF71DD"/>
    <w:rsid w:val="00C14E42"/>
    <w:rsid w:val="00C20544"/>
    <w:rsid w:val="00C3285E"/>
    <w:rsid w:val="00C40D79"/>
    <w:rsid w:val="00C41715"/>
    <w:rsid w:val="00C5214A"/>
    <w:rsid w:val="00C665CD"/>
    <w:rsid w:val="00C96832"/>
    <w:rsid w:val="00CA3230"/>
    <w:rsid w:val="00CA71AB"/>
    <w:rsid w:val="00CB7D85"/>
    <w:rsid w:val="00CD1369"/>
    <w:rsid w:val="00CD6A36"/>
    <w:rsid w:val="00CE6114"/>
    <w:rsid w:val="00CF264B"/>
    <w:rsid w:val="00CF573D"/>
    <w:rsid w:val="00D022C5"/>
    <w:rsid w:val="00D067FE"/>
    <w:rsid w:val="00D11951"/>
    <w:rsid w:val="00D47808"/>
    <w:rsid w:val="00D577D3"/>
    <w:rsid w:val="00D61949"/>
    <w:rsid w:val="00D81A99"/>
    <w:rsid w:val="00D95C3B"/>
    <w:rsid w:val="00DA13FC"/>
    <w:rsid w:val="00DA6B94"/>
    <w:rsid w:val="00DB107C"/>
    <w:rsid w:val="00DB2EEE"/>
    <w:rsid w:val="00DB7B6B"/>
    <w:rsid w:val="00DC51E0"/>
    <w:rsid w:val="00DD0763"/>
    <w:rsid w:val="00DD0EC4"/>
    <w:rsid w:val="00DD2DCC"/>
    <w:rsid w:val="00DE1C14"/>
    <w:rsid w:val="00DF199C"/>
    <w:rsid w:val="00DF3845"/>
    <w:rsid w:val="00E17178"/>
    <w:rsid w:val="00E17FE7"/>
    <w:rsid w:val="00E3276F"/>
    <w:rsid w:val="00E44D00"/>
    <w:rsid w:val="00E47DF3"/>
    <w:rsid w:val="00E678A4"/>
    <w:rsid w:val="00E823E0"/>
    <w:rsid w:val="00E857C6"/>
    <w:rsid w:val="00EA070F"/>
    <w:rsid w:val="00EA0B7F"/>
    <w:rsid w:val="00EA2F05"/>
    <w:rsid w:val="00EA3FF8"/>
    <w:rsid w:val="00EC2EF8"/>
    <w:rsid w:val="00EC6F38"/>
    <w:rsid w:val="00EC7A31"/>
    <w:rsid w:val="00ED03EE"/>
    <w:rsid w:val="00ED45E6"/>
    <w:rsid w:val="00EE6673"/>
    <w:rsid w:val="00EE7C4C"/>
    <w:rsid w:val="00F24DB2"/>
    <w:rsid w:val="00F4377E"/>
    <w:rsid w:val="00F46AA3"/>
    <w:rsid w:val="00F508B6"/>
    <w:rsid w:val="00F72496"/>
    <w:rsid w:val="00F7249F"/>
    <w:rsid w:val="00F75BC9"/>
    <w:rsid w:val="00F921EE"/>
    <w:rsid w:val="00FA4D5C"/>
    <w:rsid w:val="00FC7902"/>
    <w:rsid w:val="00FD72F6"/>
    <w:rsid w:val="00FD7AFC"/>
    <w:rsid w:val="00FE6CDA"/>
    <w:rsid w:val="00FE7019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5:docId w15:val="{E4FF436B-9A1F-4D38-A7F7-538C6FE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A5"/>
  </w:style>
  <w:style w:type="paragraph" w:styleId="Titre10">
    <w:name w:val="heading 1"/>
    <w:basedOn w:val="Normal"/>
    <w:next w:val="Normal"/>
    <w:link w:val="Titre1Car"/>
    <w:uiPriority w:val="9"/>
    <w:qFormat/>
    <w:rsid w:val="0033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A6B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0C"/>
    <w:rPr>
      <w:rFonts w:ascii="Segoe UI" w:hAnsi="Segoe UI" w:cs="Segoe UI"/>
      <w:sz w:val="18"/>
      <w:szCs w:val="18"/>
    </w:rPr>
  </w:style>
  <w:style w:type="paragraph" w:customStyle="1" w:styleId="Titre1">
    <w:name w:val="Titre1"/>
    <w:basedOn w:val="Paragraphedeliste"/>
    <w:link w:val="Titre1Car0"/>
    <w:qFormat/>
    <w:rsid w:val="00334F1E"/>
    <w:pPr>
      <w:numPr>
        <w:numId w:val="6"/>
      </w:numPr>
    </w:pPr>
    <w:rPr>
      <w:b/>
    </w:rPr>
  </w:style>
  <w:style w:type="paragraph" w:customStyle="1" w:styleId="Style2">
    <w:name w:val="Style2"/>
    <w:basedOn w:val="Paragraphedeliste"/>
    <w:link w:val="Style2Car"/>
    <w:qFormat/>
    <w:rsid w:val="00334F1E"/>
    <w:pPr>
      <w:numPr>
        <w:ilvl w:val="1"/>
        <w:numId w:val="8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34F1E"/>
  </w:style>
  <w:style w:type="character" w:customStyle="1" w:styleId="Titre1Car0">
    <w:name w:val="Titre1 Car"/>
    <w:basedOn w:val="ParagraphedelisteCar"/>
    <w:link w:val="Titre1"/>
    <w:rsid w:val="00334F1E"/>
    <w:rPr>
      <w:b/>
    </w:rPr>
  </w:style>
  <w:style w:type="character" w:customStyle="1" w:styleId="Titre1Car">
    <w:name w:val="Titre 1 Car"/>
    <w:basedOn w:val="Policepardfaut"/>
    <w:link w:val="Titre10"/>
    <w:uiPriority w:val="9"/>
    <w:rsid w:val="0033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2Car">
    <w:name w:val="Style2 Car"/>
    <w:basedOn w:val="ParagraphedelisteCar"/>
    <w:link w:val="Style2"/>
    <w:rsid w:val="00334F1E"/>
  </w:style>
  <w:style w:type="paragraph" w:styleId="En-ttedetabledesmatires">
    <w:name w:val="TOC Heading"/>
    <w:basedOn w:val="Titre10"/>
    <w:next w:val="Normal"/>
    <w:uiPriority w:val="39"/>
    <w:unhideWhenUsed/>
    <w:qFormat/>
    <w:rsid w:val="00334F1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34F1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34F1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34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34F1E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DF1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9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99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F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4F8"/>
  </w:style>
  <w:style w:type="paragraph" w:styleId="Pieddepage">
    <w:name w:val="footer"/>
    <w:basedOn w:val="Normal"/>
    <w:link w:val="PieddepageCar"/>
    <w:uiPriority w:val="99"/>
    <w:unhideWhenUsed/>
    <w:rsid w:val="001C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4F8"/>
  </w:style>
  <w:style w:type="paragraph" w:styleId="Notedebasdepage">
    <w:name w:val="footnote text"/>
    <w:basedOn w:val="Normal"/>
    <w:link w:val="NotedebasdepageCar"/>
    <w:uiPriority w:val="99"/>
    <w:unhideWhenUsed/>
    <w:rsid w:val="007730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30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7307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34F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34F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34F4"/>
    <w:rPr>
      <w:vertAlign w:val="superscript"/>
    </w:rPr>
  </w:style>
  <w:style w:type="paragraph" w:styleId="Sansinterligne">
    <w:name w:val="No Spacing"/>
    <w:uiPriority w:val="1"/>
    <w:qFormat/>
    <w:rsid w:val="00826B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328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C4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uyane.dieccte.gouv.fr" TargetMode="External"/><Relationship Id="rId18" Type="http://schemas.openxmlformats.org/officeDocument/2006/relationships/hyperlink" Target="http://www.mpiguyane.gf" TargetMode="Externa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file:///\\SRV-SGARDE-01\sgarde\Programmation_2014_2020\Pilotage\procedure_selection\AMIAides_entreprises\amifesi@cr-guya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-guyane.fr" TargetMode="External"/><Relationship Id="rId17" Type="http://schemas.openxmlformats.org/officeDocument/2006/relationships/hyperlink" Target="http://www.entreprendre-en-guyane.fr" TargetMode="Externa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hyperlink" Target="http://les-aides.fr" TargetMode="External"/><Relationship Id="rId20" Type="http://schemas.openxmlformats.org/officeDocument/2006/relationships/hyperlink" Target="file:///\\SRV-SGARDE-01\sgarde\Programmation_2014_2020\Pilotage\procedure_selection\AMIAides_entreprises\amifesi@cr-guyan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-guyane.fr/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guyane.cci.fr" TargetMode="External"/><Relationship Id="rId23" Type="http://schemas.openxmlformats.org/officeDocument/2006/relationships/diagramLayout" Target="diagrams/layout1.xml"/><Relationship Id="rId28" Type="http://schemas.openxmlformats.org/officeDocument/2006/relationships/fontTable" Target="fontTable.xml"/><Relationship Id="rId10" Type="http://schemas.openxmlformats.org/officeDocument/2006/relationships/hyperlink" Target="file:///\\SRV-SGARDE-01\sgarde\Programmation_2014_2020\Pilotage\procedure_selection\AMIAides_entreprises\amifesi@cr-guyane.fr" TargetMode="External"/><Relationship Id="rId19" Type="http://schemas.openxmlformats.org/officeDocument/2006/relationships/hyperlink" Target="mailto:amifesi@cr-guya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efguyane.fr" TargetMode="External"/><Relationship Id="rId22" Type="http://schemas.openxmlformats.org/officeDocument/2006/relationships/diagramData" Target="diagrams/data1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14CFFB-E426-4189-A27F-0E885A00B1B9}" type="doc">
      <dgm:prSet loTypeId="urn:microsoft.com/office/officeart/2005/8/layout/process2" loCatId="process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fr-FR"/>
        </a:p>
      </dgm:t>
    </dgm:pt>
    <dgm:pt modelId="{BFAD1F0E-BEC5-4E9C-ACD5-8E49281C7A83}">
      <dgm:prSet phldrT="[Texte]"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1. Lancement de l’appel à manifestation d’intérêt</a:t>
          </a:r>
        </a:p>
        <a:p>
          <a:r>
            <a:rPr lang="fr-FR" sz="800" dirty="0" smtClean="0">
              <a:solidFill>
                <a:sysClr val="windowText" lastClr="000000"/>
              </a:solidFill>
            </a:rPr>
            <a:t>17 juillet </a:t>
          </a:r>
          <a:r>
            <a:rPr lang="fr-FR" sz="800" dirty="0" smtClean="0">
              <a:solidFill>
                <a:schemeClr val="tx1"/>
              </a:solidFill>
            </a:rPr>
            <a:t>2015</a:t>
          </a:r>
          <a:endParaRPr lang="fr-FR" sz="800" dirty="0">
            <a:solidFill>
              <a:schemeClr val="tx1"/>
            </a:solidFill>
          </a:endParaRPr>
        </a:p>
      </dgm:t>
    </dgm:pt>
    <dgm:pt modelId="{9213B2CA-5503-4CCA-A826-BFE440CE6976}" type="parTrans" cxnId="{7AEB223A-9739-455C-8407-4D5BCC872A7D}">
      <dgm:prSet/>
      <dgm:spPr/>
      <dgm:t>
        <a:bodyPr/>
        <a:lstStyle/>
        <a:p>
          <a:endParaRPr lang="fr-FR"/>
        </a:p>
      </dgm:t>
    </dgm:pt>
    <dgm:pt modelId="{AA4CB2CB-13EB-467A-962D-8DD8EFC7D6FA}" type="sibTrans" cxnId="{7AEB223A-9739-455C-8407-4D5BCC872A7D}">
      <dgm:prSet/>
      <dgm:spPr/>
      <dgm:t>
        <a:bodyPr/>
        <a:lstStyle/>
        <a:p>
          <a:endParaRPr lang="fr-FR"/>
        </a:p>
      </dgm:t>
    </dgm:pt>
    <dgm:pt modelId="{A9E2754B-CB32-4CEA-9462-21377C60B470}">
      <dgm:prSet phldrT="[Texte]"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5. Sélection des candidatures en Comité de Pilotage et de Synthèse suivant et au minimum un mois après le point 2.</a:t>
          </a:r>
        </a:p>
        <a:p>
          <a:r>
            <a:rPr lang="fr-FR" sz="800" dirty="0" smtClean="0">
              <a:solidFill>
                <a:schemeClr val="tx1"/>
              </a:solidFill>
            </a:rPr>
            <a:t>06 novembre 2015 </a:t>
          </a:r>
        </a:p>
      </dgm:t>
    </dgm:pt>
    <dgm:pt modelId="{2F794530-85B1-45B1-8E8E-F534A458C588}" type="parTrans" cxnId="{B4A830C1-EA6B-407E-B99E-A1A774619641}">
      <dgm:prSet/>
      <dgm:spPr/>
      <dgm:t>
        <a:bodyPr/>
        <a:lstStyle/>
        <a:p>
          <a:endParaRPr lang="fr-FR"/>
        </a:p>
      </dgm:t>
    </dgm:pt>
    <dgm:pt modelId="{86862965-8D11-4733-B702-837DBCEA19C4}" type="sibTrans" cxnId="{B4A830C1-EA6B-407E-B99E-A1A774619641}">
      <dgm:prSet/>
      <dgm:spPr/>
      <dgm:t>
        <a:bodyPr/>
        <a:lstStyle/>
        <a:p>
          <a:endParaRPr lang="fr-FR"/>
        </a:p>
      </dgm:t>
    </dgm:pt>
    <dgm:pt modelId="{4ED2E32A-49D6-4159-8459-4C48982F0CE0}">
      <dgm:prSet phldrT="[Texte]"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6. Information aux candidats de la décision de sélection (dans un délai maximum de 15 jours après le point 5.) – 20 novembre 2015 </a:t>
          </a:r>
        </a:p>
        <a:p>
          <a:r>
            <a:rPr lang="fr-FR" sz="800" dirty="0" smtClean="0">
              <a:solidFill>
                <a:schemeClr val="tx1"/>
              </a:solidFill>
            </a:rPr>
            <a:t>Les candidats retenus sont ainsi habilités à déposer un dossier de demande d’aide au fonds européen</a:t>
          </a:r>
          <a:endParaRPr lang="fr-FR" sz="800" dirty="0">
            <a:solidFill>
              <a:schemeClr val="tx1"/>
            </a:solidFill>
          </a:endParaRPr>
        </a:p>
      </dgm:t>
    </dgm:pt>
    <dgm:pt modelId="{AB2359C8-5A5B-473B-BAED-090D7D957518}" type="parTrans" cxnId="{59C510F1-53B8-40E2-B0C3-9EDC689F8F20}">
      <dgm:prSet/>
      <dgm:spPr/>
      <dgm:t>
        <a:bodyPr/>
        <a:lstStyle/>
        <a:p>
          <a:endParaRPr lang="fr-FR"/>
        </a:p>
      </dgm:t>
    </dgm:pt>
    <dgm:pt modelId="{AA9BFFF1-2400-4CDA-A701-D790DA28BB6D}" type="sibTrans" cxnId="{59C510F1-53B8-40E2-B0C3-9EDC689F8F20}">
      <dgm:prSet/>
      <dgm:spPr/>
      <dgm:t>
        <a:bodyPr/>
        <a:lstStyle/>
        <a:p>
          <a:endParaRPr lang="fr-FR"/>
        </a:p>
      </dgm:t>
    </dgm:pt>
    <dgm:pt modelId="{2B8F7500-FA29-4FFF-BFCB-168465138CCE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2. Réception des candidatures complètes</a:t>
          </a:r>
        </a:p>
        <a:p>
          <a:r>
            <a:rPr lang="fr-FR" sz="800" dirty="0" smtClean="0">
              <a:solidFill>
                <a:schemeClr val="tx1"/>
              </a:solidFill>
            </a:rPr>
            <a:t>30 septembre 2015 à 12h (heure </a:t>
          </a:r>
          <a:r>
            <a:rPr lang="fr-FR" sz="800" smtClean="0">
              <a:solidFill>
                <a:schemeClr val="tx1"/>
              </a:solidFill>
            </a:rPr>
            <a:t>de Guyane)</a:t>
          </a:r>
          <a:endParaRPr lang="fr-FR" sz="800" dirty="0">
            <a:solidFill>
              <a:schemeClr val="tx1"/>
            </a:solidFill>
          </a:endParaRPr>
        </a:p>
      </dgm:t>
    </dgm:pt>
    <dgm:pt modelId="{7A70C743-B29A-4E11-AF01-9B8987C4A702}" type="parTrans" cxnId="{22AE53CE-0C63-4CB5-8D1A-20CA097A92FB}">
      <dgm:prSet/>
      <dgm:spPr/>
      <dgm:t>
        <a:bodyPr/>
        <a:lstStyle/>
        <a:p>
          <a:endParaRPr lang="fr-FR"/>
        </a:p>
      </dgm:t>
    </dgm:pt>
    <dgm:pt modelId="{0F62100B-700C-4895-99ED-B449EB6DAB31}" type="sibTrans" cxnId="{22AE53CE-0C63-4CB5-8D1A-20CA097A92FB}">
      <dgm:prSet/>
      <dgm:spPr/>
      <dgm:t>
        <a:bodyPr/>
        <a:lstStyle/>
        <a:p>
          <a:endParaRPr lang="fr-FR"/>
        </a:p>
      </dgm:t>
    </dgm:pt>
    <dgm:pt modelId="{E90054B2-C42A-4246-A802-C174E95DBC09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3. Ouverture et évaluation des candidatures</a:t>
          </a:r>
        </a:p>
        <a:p>
          <a:r>
            <a:rPr lang="fr-FR" sz="800" dirty="0" smtClean="0">
              <a:solidFill>
                <a:schemeClr val="tx1"/>
              </a:solidFill>
            </a:rPr>
            <a:t>1er octobre 2015</a:t>
          </a:r>
        </a:p>
      </dgm:t>
    </dgm:pt>
    <dgm:pt modelId="{26D91D3B-CFD7-4EE0-9154-C64DF3C8F7F1}" type="parTrans" cxnId="{113E1540-2DE1-4647-A049-2E0FF013251E}">
      <dgm:prSet/>
      <dgm:spPr/>
      <dgm:t>
        <a:bodyPr/>
        <a:lstStyle/>
        <a:p>
          <a:endParaRPr lang="fr-FR"/>
        </a:p>
      </dgm:t>
    </dgm:pt>
    <dgm:pt modelId="{168DB3B6-7003-4FFA-A8AB-F41F9BA65448}" type="sibTrans" cxnId="{113E1540-2DE1-4647-A049-2E0FF013251E}">
      <dgm:prSet/>
      <dgm:spPr/>
      <dgm:t>
        <a:bodyPr/>
        <a:lstStyle/>
        <a:p>
          <a:endParaRPr lang="fr-FR"/>
        </a:p>
      </dgm:t>
    </dgm:pt>
    <dgm:pt modelId="{E4A16F86-D429-4E27-AC5A-D04B23D3DED1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4. Envoi des  attestations de dépôt de candidature au titre de l'appel à manifestation d'intérêt – 06 octobre 2015</a:t>
          </a:r>
        </a:p>
      </dgm:t>
    </dgm:pt>
    <dgm:pt modelId="{73232E74-C9EC-4770-9D72-E950D7ACE7FE}" type="parTrans" cxnId="{56E40616-4CD3-4835-AF49-1C30883D4AAD}">
      <dgm:prSet/>
      <dgm:spPr/>
      <dgm:t>
        <a:bodyPr/>
        <a:lstStyle/>
        <a:p>
          <a:endParaRPr lang="fr-FR"/>
        </a:p>
      </dgm:t>
    </dgm:pt>
    <dgm:pt modelId="{2DA51A07-81D9-4917-9297-C1283F623AF1}" type="sibTrans" cxnId="{56E40616-4CD3-4835-AF49-1C30883D4AAD}">
      <dgm:prSet/>
      <dgm:spPr/>
      <dgm:t>
        <a:bodyPr/>
        <a:lstStyle/>
        <a:p>
          <a:endParaRPr lang="fr-FR"/>
        </a:p>
      </dgm:t>
    </dgm:pt>
    <dgm:pt modelId="{AF190670-736A-46FE-982B-C6B8F4E3F311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7a. Dépôt du dossier de demande d’aide complet auprès du Pôle Affaires Européennes de la Région dans les 1 ans</a:t>
          </a:r>
          <a:endParaRPr lang="fr-FR" sz="800" dirty="0">
            <a:solidFill>
              <a:schemeClr val="tx1"/>
            </a:solidFill>
          </a:endParaRPr>
        </a:p>
      </dgm:t>
    </dgm:pt>
    <dgm:pt modelId="{0B3D344B-E73F-4BBF-B5DA-7B54E5728CF6}" type="parTrans" cxnId="{27811A97-A7B4-4CFA-BC5C-622F0CA90F1A}">
      <dgm:prSet/>
      <dgm:spPr/>
      <dgm:t>
        <a:bodyPr/>
        <a:lstStyle/>
        <a:p>
          <a:endParaRPr lang="fr-FR"/>
        </a:p>
      </dgm:t>
    </dgm:pt>
    <dgm:pt modelId="{CABB6D6E-53D2-4626-BB48-8C6FE860B8BE}" type="sibTrans" cxnId="{27811A97-A7B4-4CFA-BC5C-622F0CA90F1A}">
      <dgm:prSet/>
      <dgm:spPr/>
      <dgm:t>
        <a:bodyPr/>
        <a:lstStyle/>
        <a:p>
          <a:endParaRPr lang="fr-FR"/>
        </a:p>
      </dgm:t>
    </dgm:pt>
    <dgm:pt modelId="{2484961C-15EB-4319-B3AA-0DB757BAE90E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8. Vérification et instruction du projet selon la réglementation européenne</a:t>
          </a:r>
          <a:endParaRPr lang="fr-FR" sz="800" dirty="0">
            <a:solidFill>
              <a:schemeClr val="tx1"/>
            </a:solidFill>
          </a:endParaRPr>
        </a:p>
      </dgm:t>
    </dgm:pt>
    <dgm:pt modelId="{8FBC58A3-3322-487D-A09B-B783E9A0A696}" type="parTrans" cxnId="{5666243F-74F4-4497-82F1-2957CC5DAE9F}">
      <dgm:prSet/>
      <dgm:spPr/>
      <dgm:t>
        <a:bodyPr/>
        <a:lstStyle/>
        <a:p>
          <a:endParaRPr lang="fr-FR"/>
        </a:p>
      </dgm:t>
    </dgm:pt>
    <dgm:pt modelId="{2D509542-2D86-4E26-8A1D-FF298322794F}" type="sibTrans" cxnId="{5666243F-74F4-4497-82F1-2957CC5DAE9F}">
      <dgm:prSet/>
      <dgm:spPr/>
      <dgm:t>
        <a:bodyPr/>
        <a:lstStyle/>
        <a:p>
          <a:endParaRPr lang="fr-FR"/>
        </a:p>
      </dgm:t>
    </dgm:pt>
    <dgm:pt modelId="{8BEAF273-F78E-4B6D-8929-4D126557114D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9. Programmation du projet et attribution de l’aide européenne</a:t>
          </a:r>
          <a:endParaRPr lang="fr-FR" sz="800" dirty="0">
            <a:solidFill>
              <a:schemeClr val="tx1"/>
            </a:solidFill>
          </a:endParaRPr>
        </a:p>
      </dgm:t>
    </dgm:pt>
    <dgm:pt modelId="{722F8DC6-7099-467E-A613-EDD4E9A4AF76}" type="parTrans" cxnId="{7C79575F-0E85-4550-A4F3-97A233B80653}">
      <dgm:prSet/>
      <dgm:spPr/>
      <dgm:t>
        <a:bodyPr/>
        <a:lstStyle/>
        <a:p>
          <a:endParaRPr lang="fr-FR"/>
        </a:p>
      </dgm:t>
    </dgm:pt>
    <dgm:pt modelId="{3BD8C341-515B-4D1C-9A56-BDA04E59B2EB}" type="sibTrans" cxnId="{7C79575F-0E85-4550-A4F3-97A233B80653}">
      <dgm:prSet/>
      <dgm:spPr/>
      <dgm:t>
        <a:bodyPr/>
        <a:lstStyle/>
        <a:p>
          <a:endParaRPr lang="fr-FR"/>
        </a:p>
      </dgm:t>
    </dgm:pt>
    <dgm:pt modelId="{CBE048FF-EF27-45A5-B89E-B9A143DC20FF}">
      <dgm:prSet custT="1"/>
      <dgm:spPr/>
      <dgm:t>
        <a:bodyPr/>
        <a:lstStyle/>
        <a:p>
          <a:r>
            <a:rPr lang="fr-FR" sz="800" dirty="0" smtClean="0">
              <a:solidFill>
                <a:schemeClr val="tx1"/>
              </a:solidFill>
            </a:rPr>
            <a:t>10. Conventionnement et réalisation du projet</a:t>
          </a:r>
          <a:endParaRPr lang="fr-FR" sz="800" dirty="0">
            <a:solidFill>
              <a:schemeClr val="tx1"/>
            </a:solidFill>
          </a:endParaRPr>
        </a:p>
      </dgm:t>
    </dgm:pt>
    <dgm:pt modelId="{8217A3B6-E146-41BC-913C-96E10CF4BD84}" type="parTrans" cxnId="{FE285F65-2D9B-48D9-94E7-AF279BBBF26B}">
      <dgm:prSet/>
      <dgm:spPr/>
      <dgm:t>
        <a:bodyPr/>
        <a:lstStyle/>
        <a:p>
          <a:endParaRPr lang="fr-FR"/>
        </a:p>
      </dgm:t>
    </dgm:pt>
    <dgm:pt modelId="{FFC9C296-48DA-44E4-8975-451B350F57D5}" type="sibTrans" cxnId="{FE285F65-2D9B-48D9-94E7-AF279BBBF26B}">
      <dgm:prSet/>
      <dgm:spPr/>
      <dgm:t>
        <a:bodyPr/>
        <a:lstStyle/>
        <a:p>
          <a:endParaRPr lang="fr-FR"/>
        </a:p>
      </dgm:t>
    </dgm:pt>
    <dgm:pt modelId="{17F03AEF-8846-4992-A37D-8E6B5A5F98F4}" type="pres">
      <dgm:prSet presAssocID="{8D14CFFB-E426-4189-A27F-0E885A00B1B9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D8E28F7-0867-4A31-AAEB-F6256678E24E}" type="pres">
      <dgm:prSet presAssocID="{BFAD1F0E-BEC5-4E9C-ACD5-8E49281C7A83}" presName="node" presStyleLbl="node1" presStyleIdx="0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0CFFBA7-620B-49A4-8F2E-AA998A0F0E67}" type="pres">
      <dgm:prSet presAssocID="{AA4CB2CB-13EB-467A-962D-8DD8EFC7D6FA}" presName="sibTrans" presStyleLbl="sibTrans2D1" presStyleIdx="0" presStyleCnt="9"/>
      <dgm:spPr/>
      <dgm:t>
        <a:bodyPr/>
        <a:lstStyle/>
        <a:p>
          <a:endParaRPr lang="fr-FR"/>
        </a:p>
      </dgm:t>
    </dgm:pt>
    <dgm:pt modelId="{1BA53E8F-F898-4BA4-89E0-669B940BF541}" type="pres">
      <dgm:prSet presAssocID="{AA4CB2CB-13EB-467A-962D-8DD8EFC7D6FA}" presName="connectorText" presStyleLbl="sibTrans2D1" presStyleIdx="0" presStyleCnt="9"/>
      <dgm:spPr/>
      <dgm:t>
        <a:bodyPr/>
        <a:lstStyle/>
        <a:p>
          <a:endParaRPr lang="fr-FR"/>
        </a:p>
      </dgm:t>
    </dgm:pt>
    <dgm:pt modelId="{E014EFF0-D303-4238-A599-6B58F35F26A0}" type="pres">
      <dgm:prSet presAssocID="{2B8F7500-FA29-4FFF-BFCB-168465138CCE}" presName="node" presStyleLbl="node1" presStyleIdx="1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672599D-4297-48F5-B1C9-0C0B12893D22}" type="pres">
      <dgm:prSet presAssocID="{0F62100B-700C-4895-99ED-B449EB6DAB31}" presName="sibTrans" presStyleLbl="sibTrans2D1" presStyleIdx="1" presStyleCnt="9"/>
      <dgm:spPr/>
      <dgm:t>
        <a:bodyPr/>
        <a:lstStyle/>
        <a:p>
          <a:endParaRPr lang="fr-FR"/>
        </a:p>
      </dgm:t>
    </dgm:pt>
    <dgm:pt modelId="{BD6D2AA4-7AAC-4A48-9D38-D99365CA5275}" type="pres">
      <dgm:prSet presAssocID="{0F62100B-700C-4895-99ED-B449EB6DAB31}" presName="connectorText" presStyleLbl="sibTrans2D1" presStyleIdx="1" presStyleCnt="9"/>
      <dgm:spPr/>
      <dgm:t>
        <a:bodyPr/>
        <a:lstStyle/>
        <a:p>
          <a:endParaRPr lang="fr-FR"/>
        </a:p>
      </dgm:t>
    </dgm:pt>
    <dgm:pt modelId="{E3133D5B-F89E-41F5-9D8D-1EE372D4C6AB}" type="pres">
      <dgm:prSet presAssocID="{E90054B2-C42A-4246-A802-C174E95DBC09}" presName="node" presStyleLbl="node1" presStyleIdx="2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51DBAE-8674-470B-B946-9A1833104D7D}" type="pres">
      <dgm:prSet presAssocID="{168DB3B6-7003-4FFA-A8AB-F41F9BA65448}" presName="sibTrans" presStyleLbl="sibTrans2D1" presStyleIdx="2" presStyleCnt="9"/>
      <dgm:spPr/>
      <dgm:t>
        <a:bodyPr/>
        <a:lstStyle/>
        <a:p>
          <a:endParaRPr lang="fr-FR"/>
        </a:p>
      </dgm:t>
    </dgm:pt>
    <dgm:pt modelId="{27365B76-658E-4E96-9106-1AFBFFC2223E}" type="pres">
      <dgm:prSet presAssocID="{168DB3B6-7003-4FFA-A8AB-F41F9BA65448}" presName="connectorText" presStyleLbl="sibTrans2D1" presStyleIdx="2" presStyleCnt="9"/>
      <dgm:spPr/>
      <dgm:t>
        <a:bodyPr/>
        <a:lstStyle/>
        <a:p>
          <a:endParaRPr lang="fr-FR"/>
        </a:p>
      </dgm:t>
    </dgm:pt>
    <dgm:pt modelId="{6CA01A67-877B-4D79-84BD-C52F18884C04}" type="pres">
      <dgm:prSet presAssocID="{E4A16F86-D429-4E27-AC5A-D04B23D3DED1}" presName="node" presStyleLbl="node1" presStyleIdx="3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FE114CF-EE44-42BD-B1BA-740A8EE3EBF9}" type="pres">
      <dgm:prSet presAssocID="{2DA51A07-81D9-4917-9297-C1283F623AF1}" presName="sibTrans" presStyleLbl="sibTrans2D1" presStyleIdx="3" presStyleCnt="9"/>
      <dgm:spPr/>
      <dgm:t>
        <a:bodyPr/>
        <a:lstStyle/>
        <a:p>
          <a:endParaRPr lang="fr-FR"/>
        </a:p>
      </dgm:t>
    </dgm:pt>
    <dgm:pt modelId="{28A73592-9B7C-4275-AF3A-E5359FBB2F55}" type="pres">
      <dgm:prSet presAssocID="{2DA51A07-81D9-4917-9297-C1283F623AF1}" presName="connectorText" presStyleLbl="sibTrans2D1" presStyleIdx="3" presStyleCnt="9"/>
      <dgm:spPr/>
      <dgm:t>
        <a:bodyPr/>
        <a:lstStyle/>
        <a:p>
          <a:endParaRPr lang="fr-FR"/>
        </a:p>
      </dgm:t>
    </dgm:pt>
    <dgm:pt modelId="{BDCCD6E3-32EE-4BEA-B7EA-13B26096357A}" type="pres">
      <dgm:prSet presAssocID="{A9E2754B-CB32-4CEA-9462-21377C60B470}" presName="node" presStyleLbl="node1" presStyleIdx="4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FE964AF-DCDD-410B-B8D6-8AB295A4C525}" type="pres">
      <dgm:prSet presAssocID="{86862965-8D11-4733-B702-837DBCEA19C4}" presName="sibTrans" presStyleLbl="sibTrans2D1" presStyleIdx="4" presStyleCnt="9"/>
      <dgm:spPr/>
      <dgm:t>
        <a:bodyPr/>
        <a:lstStyle/>
        <a:p>
          <a:endParaRPr lang="fr-FR"/>
        </a:p>
      </dgm:t>
    </dgm:pt>
    <dgm:pt modelId="{65772146-53E4-4E2E-8953-A9980E6AAC78}" type="pres">
      <dgm:prSet presAssocID="{86862965-8D11-4733-B702-837DBCEA19C4}" presName="connectorText" presStyleLbl="sibTrans2D1" presStyleIdx="4" presStyleCnt="9"/>
      <dgm:spPr/>
      <dgm:t>
        <a:bodyPr/>
        <a:lstStyle/>
        <a:p>
          <a:endParaRPr lang="fr-FR"/>
        </a:p>
      </dgm:t>
    </dgm:pt>
    <dgm:pt modelId="{955CB429-980F-400D-84D5-D5D286A581E3}" type="pres">
      <dgm:prSet presAssocID="{4ED2E32A-49D6-4159-8459-4C48982F0CE0}" presName="node" presStyleLbl="node1" presStyleIdx="5" presStyleCnt="10" custScaleX="325774" custLinFactNeighborX="1885" custLinFactNeighborY="230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0C82B8-B6C2-425A-932E-095D247F9E8F}" type="pres">
      <dgm:prSet presAssocID="{AA9BFFF1-2400-4CDA-A701-D790DA28BB6D}" presName="sibTrans" presStyleLbl="sibTrans2D1" presStyleIdx="5" presStyleCnt="9"/>
      <dgm:spPr/>
      <dgm:t>
        <a:bodyPr/>
        <a:lstStyle/>
        <a:p>
          <a:endParaRPr lang="fr-FR"/>
        </a:p>
      </dgm:t>
    </dgm:pt>
    <dgm:pt modelId="{43FA8E06-6006-4897-B1F9-59A83D77CB39}" type="pres">
      <dgm:prSet presAssocID="{AA9BFFF1-2400-4CDA-A701-D790DA28BB6D}" presName="connectorText" presStyleLbl="sibTrans2D1" presStyleIdx="5" presStyleCnt="9"/>
      <dgm:spPr/>
      <dgm:t>
        <a:bodyPr/>
        <a:lstStyle/>
        <a:p>
          <a:endParaRPr lang="fr-FR"/>
        </a:p>
      </dgm:t>
    </dgm:pt>
    <dgm:pt modelId="{6ECFA937-6636-4745-856A-B47AD265B1D6}" type="pres">
      <dgm:prSet presAssocID="{AF190670-736A-46FE-982B-C6B8F4E3F311}" presName="node" presStyleLbl="node1" presStyleIdx="6" presStyleCnt="10" custScaleX="171963" custLinFactNeighborX="-75180" custLinFactNeighborY="251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CB330EB-BA7F-49CB-9084-B6AC8B1FD3A0}" type="pres">
      <dgm:prSet presAssocID="{CABB6D6E-53D2-4626-BB48-8C6FE860B8BE}" presName="sibTrans" presStyleLbl="sibTrans2D1" presStyleIdx="6" presStyleCnt="9"/>
      <dgm:spPr/>
      <dgm:t>
        <a:bodyPr/>
        <a:lstStyle/>
        <a:p>
          <a:endParaRPr lang="fr-FR"/>
        </a:p>
      </dgm:t>
    </dgm:pt>
    <dgm:pt modelId="{A906FA7A-B8FD-4555-A791-68253C4A3ABD}" type="pres">
      <dgm:prSet presAssocID="{CABB6D6E-53D2-4626-BB48-8C6FE860B8BE}" presName="connectorText" presStyleLbl="sibTrans2D1" presStyleIdx="6" presStyleCnt="9"/>
      <dgm:spPr/>
      <dgm:t>
        <a:bodyPr/>
        <a:lstStyle/>
        <a:p>
          <a:endParaRPr lang="fr-FR"/>
        </a:p>
      </dgm:t>
    </dgm:pt>
    <dgm:pt modelId="{27EAC061-A896-4826-BB50-61D3BF89C74B}" type="pres">
      <dgm:prSet presAssocID="{2484961C-15EB-4319-B3AA-0DB757BAE90E}" presName="node" presStyleLbl="node1" presStyleIdx="7" presStyleCnt="10" custScaleX="170811" custLinFactNeighborX="-75757" custLinFactNeighborY="3220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195BE39-9281-4D20-BD5B-E1477775D9D2}" type="pres">
      <dgm:prSet presAssocID="{2D509542-2D86-4E26-8A1D-FF298322794F}" presName="sibTrans" presStyleLbl="sibTrans2D1" presStyleIdx="7" presStyleCnt="9"/>
      <dgm:spPr/>
      <dgm:t>
        <a:bodyPr/>
        <a:lstStyle/>
        <a:p>
          <a:endParaRPr lang="fr-FR"/>
        </a:p>
      </dgm:t>
    </dgm:pt>
    <dgm:pt modelId="{AB654D9F-D57E-4026-8B08-E93854108877}" type="pres">
      <dgm:prSet presAssocID="{2D509542-2D86-4E26-8A1D-FF298322794F}" presName="connectorText" presStyleLbl="sibTrans2D1" presStyleIdx="7" presStyleCnt="9"/>
      <dgm:spPr/>
      <dgm:t>
        <a:bodyPr/>
        <a:lstStyle/>
        <a:p>
          <a:endParaRPr lang="fr-FR"/>
        </a:p>
      </dgm:t>
    </dgm:pt>
    <dgm:pt modelId="{CDFC5120-DDB5-47FE-82CF-0F1C2786E37D}" type="pres">
      <dgm:prSet presAssocID="{8BEAF273-F78E-4B6D-8929-4D126557114D}" presName="node" presStyleLbl="node1" presStyleIdx="8" presStyleCnt="10" custScaleX="173111" custLinFactNeighborX="-75756" custLinFactNeighborY="184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5A477D-0068-4DE1-BB31-98808F95BCDE}" type="pres">
      <dgm:prSet presAssocID="{3BD8C341-515B-4D1C-9A56-BDA04E59B2EB}" presName="sibTrans" presStyleLbl="sibTrans2D1" presStyleIdx="8" presStyleCnt="9"/>
      <dgm:spPr/>
      <dgm:t>
        <a:bodyPr/>
        <a:lstStyle/>
        <a:p>
          <a:endParaRPr lang="fr-FR"/>
        </a:p>
      </dgm:t>
    </dgm:pt>
    <dgm:pt modelId="{D1FD9557-D000-4DED-A9E3-E5CD2FB4144A}" type="pres">
      <dgm:prSet presAssocID="{3BD8C341-515B-4D1C-9A56-BDA04E59B2EB}" presName="connectorText" presStyleLbl="sibTrans2D1" presStyleIdx="8" presStyleCnt="9"/>
      <dgm:spPr/>
      <dgm:t>
        <a:bodyPr/>
        <a:lstStyle/>
        <a:p>
          <a:endParaRPr lang="fr-FR"/>
        </a:p>
      </dgm:t>
    </dgm:pt>
    <dgm:pt modelId="{FD90DB4E-15F8-4EA6-AC12-AA83E072C0BF}" type="pres">
      <dgm:prSet presAssocID="{CBE048FF-EF27-45A5-B89E-B9A143DC20FF}" presName="node" presStyleLbl="node1" presStyleIdx="9" presStyleCnt="10" custScaleX="173111" custLinFactNeighborX="-77641" custLinFactNeighborY="-460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B1A5B8D5-6779-4991-A1D9-DCA69D69CCAD}" type="presOf" srcId="{3BD8C341-515B-4D1C-9A56-BDA04E59B2EB}" destId="{E45A477D-0068-4DE1-BB31-98808F95BCDE}" srcOrd="0" destOrd="0" presId="urn:microsoft.com/office/officeart/2005/8/layout/process2"/>
    <dgm:cxn modelId="{7AEB223A-9739-455C-8407-4D5BCC872A7D}" srcId="{8D14CFFB-E426-4189-A27F-0E885A00B1B9}" destId="{BFAD1F0E-BEC5-4E9C-ACD5-8E49281C7A83}" srcOrd="0" destOrd="0" parTransId="{9213B2CA-5503-4CCA-A826-BFE440CE6976}" sibTransId="{AA4CB2CB-13EB-467A-962D-8DD8EFC7D6FA}"/>
    <dgm:cxn modelId="{66AB87C0-F4D4-42D9-9A24-E28F3FE50794}" type="presOf" srcId="{168DB3B6-7003-4FFA-A8AB-F41F9BA65448}" destId="{3E51DBAE-8674-470B-B946-9A1833104D7D}" srcOrd="0" destOrd="0" presId="urn:microsoft.com/office/officeart/2005/8/layout/process2"/>
    <dgm:cxn modelId="{5E88FC87-7A32-46E0-90B0-DD734A1E5904}" type="presOf" srcId="{0F62100B-700C-4895-99ED-B449EB6DAB31}" destId="{BD6D2AA4-7AAC-4A48-9D38-D99365CA5275}" srcOrd="1" destOrd="0" presId="urn:microsoft.com/office/officeart/2005/8/layout/process2"/>
    <dgm:cxn modelId="{C693A936-F3E8-4A25-BC23-DB1253B0879D}" type="presOf" srcId="{AF190670-736A-46FE-982B-C6B8F4E3F311}" destId="{6ECFA937-6636-4745-856A-B47AD265B1D6}" srcOrd="0" destOrd="0" presId="urn:microsoft.com/office/officeart/2005/8/layout/process2"/>
    <dgm:cxn modelId="{3F9FDEAD-E694-47C3-A302-A7596CD39666}" type="presOf" srcId="{2DA51A07-81D9-4917-9297-C1283F623AF1}" destId="{28A73592-9B7C-4275-AF3A-E5359FBB2F55}" srcOrd="1" destOrd="0" presId="urn:microsoft.com/office/officeart/2005/8/layout/process2"/>
    <dgm:cxn modelId="{18B57D08-3B7F-407F-BF9C-9B868291E3A7}" type="presOf" srcId="{2D509542-2D86-4E26-8A1D-FF298322794F}" destId="{4195BE39-9281-4D20-BD5B-E1477775D9D2}" srcOrd="0" destOrd="0" presId="urn:microsoft.com/office/officeart/2005/8/layout/process2"/>
    <dgm:cxn modelId="{53D50BBA-2297-4E34-91F4-F4DD60B97927}" type="presOf" srcId="{86862965-8D11-4733-B702-837DBCEA19C4}" destId="{CFE964AF-DCDD-410B-B8D6-8AB295A4C525}" srcOrd="0" destOrd="0" presId="urn:microsoft.com/office/officeart/2005/8/layout/process2"/>
    <dgm:cxn modelId="{7DFB4338-DFC1-4FC2-9B09-4DFA83B9ED8C}" type="presOf" srcId="{CABB6D6E-53D2-4626-BB48-8C6FE860B8BE}" destId="{A906FA7A-B8FD-4555-A791-68253C4A3ABD}" srcOrd="1" destOrd="0" presId="urn:microsoft.com/office/officeart/2005/8/layout/process2"/>
    <dgm:cxn modelId="{97BC1431-CA94-4F93-A29C-FD17ED4F4C39}" type="presOf" srcId="{2D509542-2D86-4E26-8A1D-FF298322794F}" destId="{AB654D9F-D57E-4026-8B08-E93854108877}" srcOrd="1" destOrd="0" presId="urn:microsoft.com/office/officeart/2005/8/layout/process2"/>
    <dgm:cxn modelId="{59C510F1-53B8-40E2-B0C3-9EDC689F8F20}" srcId="{8D14CFFB-E426-4189-A27F-0E885A00B1B9}" destId="{4ED2E32A-49D6-4159-8459-4C48982F0CE0}" srcOrd="5" destOrd="0" parTransId="{AB2359C8-5A5B-473B-BAED-090D7D957518}" sibTransId="{AA9BFFF1-2400-4CDA-A701-D790DA28BB6D}"/>
    <dgm:cxn modelId="{113E1540-2DE1-4647-A049-2E0FF013251E}" srcId="{8D14CFFB-E426-4189-A27F-0E885A00B1B9}" destId="{E90054B2-C42A-4246-A802-C174E95DBC09}" srcOrd="2" destOrd="0" parTransId="{26D91D3B-CFD7-4EE0-9154-C64DF3C8F7F1}" sibTransId="{168DB3B6-7003-4FFA-A8AB-F41F9BA65448}"/>
    <dgm:cxn modelId="{FE285F65-2D9B-48D9-94E7-AF279BBBF26B}" srcId="{8D14CFFB-E426-4189-A27F-0E885A00B1B9}" destId="{CBE048FF-EF27-45A5-B89E-B9A143DC20FF}" srcOrd="9" destOrd="0" parTransId="{8217A3B6-E146-41BC-913C-96E10CF4BD84}" sibTransId="{FFC9C296-48DA-44E4-8975-451B350F57D5}"/>
    <dgm:cxn modelId="{27811A97-A7B4-4CFA-BC5C-622F0CA90F1A}" srcId="{8D14CFFB-E426-4189-A27F-0E885A00B1B9}" destId="{AF190670-736A-46FE-982B-C6B8F4E3F311}" srcOrd="6" destOrd="0" parTransId="{0B3D344B-E73F-4BBF-B5DA-7B54E5728CF6}" sibTransId="{CABB6D6E-53D2-4626-BB48-8C6FE860B8BE}"/>
    <dgm:cxn modelId="{789B87CA-8D91-435B-B93D-82E4299A0F7C}" type="presOf" srcId="{CBE048FF-EF27-45A5-B89E-B9A143DC20FF}" destId="{FD90DB4E-15F8-4EA6-AC12-AA83E072C0BF}" srcOrd="0" destOrd="0" presId="urn:microsoft.com/office/officeart/2005/8/layout/process2"/>
    <dgm:cxn modelId="{2949998D-18DA-42BD-BD11-8BADEDC59FC7}" type="presOf" srcId="{2DA51A07-81D9-4917-9297-C1283F623AF1}" destId="{6FE114CF-EE44-42BD-B1BA-740A8EE3EBF9}" srcOrd="0" destOrd="0" presId="urn:microsoft.com/office/officeart/2005/8/layout/process2"/>
    <dgm:cxn modelId="{A2430856-E6F1-4AB6-9803-319DEF580C77}" type="presOf" srcId="{A9E2754B-CB32-4CEA-9462-21377C60B470}" destId="{BDCCD6E3-32EE-4BEA-B7EA-13B26096357A}" srcOrd="0" destOrd="0" presId="urn:microsoft.com/office/officeart/2005/8/layout/process2"/>
    <dgm:cxn modelId="{2D37890D-BD8F-4FEB-A04E-3472C26FDE91}" type="presOf" srcId="{E4A16F86-D429-4E27-AC5A-D04B23D3DED1}" destId="{6CA01A67-877B-4D79-84BD-C52F18884C04}" srcOrd="0" destOrd="0" presId="urn:microsoft.com/office/officeart/2005/8/layout/process2"/>
    <dgm:cxn modelId="{5666243F-74F4-4497-82F1-2957CC5DAE9F}" srcId="{8D14CFFB-E426-4189-A27F-0E885A00B1B9}" destId="{2484961C-15EB-4319-B3AA-0DB757BAE90E}" srcOrd="7" destOrd="0" parTransId="{8FBC58A3-3322-487D-A09B-B783E9A0A696}" sibTransId="{2D509542-2D86-4E26-8A1D-FF298322794F}"/>
    <dgm:cxn modelId="{E8CC665F-BA1B-489A-B1C2-62C1CFCE8FBD}" type="presOf" srcId="{3BD8C341-515B-4D1C-9A56-BDA04E59B2EB}" destId="{D1FD9557-D000-4DED-A9E3-E5CD2FB4144A}" srcOrd="1" destOrd="0" presId="urn:microsoft.com/office/officeart/2005/8/layout/process2"/>
    <dgm:cxn modelId="{2090CC6C-5D03-4103-A075-FEACF9829CB6}" type="presOf" srcId="{CABB6D6E-53D2-4626-BB48-8C6FE860B8BE}" destId="{8CB330EB-BA7F-49CB-9084-B6AC8B1FD3A0}" srcOrd="0" destOrd="0" presId="urn:microsoft.com/office/officeart/2005/8/layout/process2"/>
    <dgm:cxn modelId="{22AE53CE-0C63-4CB5-8D1A-20CA097A92FB}" srcId="{8D14CFFB-E426-4189-A27F-0E885A00B1B9}" destId="{2B8F7500-FA29-4FFF-BFCB-168465138CCE}" srcOrd="1" destOrd="0" parTransId="{7A70C743-B29A-4E11-AF01-9B8987C4A702}" sibTransId="{0F62100B-700C-4895-99ED-B449EB6DAB31}"/>
    <dgm:cxn modelId="{8C08E471-BCF6-444B-ADAE-F9D6B07C9C7F}" type="presOf" srcId="{4ED2E32A-49D6-4159-8459-4C48982F0CE0}" destId="{955CB429-980F-400D-84D5-D5D286A581E3}" srcOrd="0" destOrd="0" presId="urn:microsoft.com/office/officeart/2005/8/layout/process2"/>
    <dgm:cxn modelId="{7C79575F-0E85-4550-A4F3-97A233B80653}" srcId="{8D14CFFB-E426-4189-A27F-0E885A00B1B9}" destId="{8BEAF273-F78E-4B6D-8929-4D126557114D}" srcOrd="8" destOrd="0" parTransId="{722F8DC6-7099-467E-A613-EDD4E9A4AF76}" sibTransId="{3BD8C341-515B-4D1C-9A56-BDA04E59B2EB}"/>
    <dgm:cxn modelId="{69DF79D3-BDD2-4CE7-8AA9-3F76E4D42EDC}" type="presOf" srcId="{BFAD1F0E-BEC5-4E9C-ACD5-8E49281C7A83}" destId="{1D8E28F7-0867-4A31-AAEB-F6256678E24E}" srcOrd="0" destOrd="0" presId="urn:microsoft.com/office/officeart/2005/8/layout/process2"/>
    <dgm:cxn modelId="{AF547CCB-2E2D-4111-9A10-8A1AC8717FF0}" type="presOf" srcId="{2B8F7500-FA29-4FFF-BFCB-168465138CCE}" destId="{E014EFF0-D303-4238-A599-6B58F35F26A0}" srcOrd="0" destOrd="0" presId="urn:microsoft.com/office/officeart/2005/8/layout/process2"/>
    <dgm:cxn modelId="{BD8909CA-C446-4661-B132-9FC24A7ABC4E}" type="presOf" srcId="{0F62100B-700C-4895-99ED-B449EB6DAB31}" destId="{0672599D-4297-48F5-B1C9-0C0B12893D22}" srcOrd="0" destOrd="0" presId="urn:microsoft.com/office/officeart/2005/8/layout/process2"/>
    <dgm:cxn modelId="{63CDFE0F-7F0B-4DCD-BEEE-FF38C02917CC}" type="presOf" srcId="{8BEAF273-F78E-4B6D-8929-4D126557114D}" destId="{CDFC5120-DDB5-47FE-82CF-0F1C2786E37D}" srcOrd="0" destOrd="0" presId="urn:microsoft.com/office/officeart/2005/8/layout/process2"/>
    <dgm:cxn modelId="{98CB1D13-0887-4607-96E1-D30B9B48581B}" type="presOf" srcId="{8D14CFFB-E426-4189-A27F-0E885A00B1B9}" destId="{17F03AEF-8846-4992-A37D-8E6B5A5F98F4}" srcOrd="0" destOrd="0" presId="urn:microsoft.com/office/officeart/2005/8/layout/process2"/>
    <dgm:cxn modelId="{1241F3D4-7C52-4CAB-8B5C-3909ABE4EA8C}" type="presOf" srcId="{AA9BFFF1-2400-4CDA-A701-D790DA28BB6D}" destId="{F70C82B8-B6C2-425A-932E-095D247F9E8F}" srcOrd="0" destOrd="0" presId="urn:microsoft.com/office/officeart/2005/8/layout/process2"/>
    <dgm:cxn modelId="{1361BF1A-20D9-45E5-912A-DE1182B6C1A0}" type="presOf" srcId="{AA4CB2CB-13EB-467A-962D-8DD8EFC7D6FA}" destId="{1BA53E8F-F898-4BA4-89E0-669B940BF541}" srcOrd="1" destOrd="0" presId="urn:microsoft.com/office/officeart/2005/8/layout/process2"/>
    <dgm:cxn modelId="{58FADBBB-842C-4339-9C87-C0A33363E8E9}" type="presOf" srcId="{2484961C-15EB-4319-B3AA-0DB757BAE90E}" destId="{27EAC061-A896-4826-BB50-61D3BF89C74B}" srcOrd="0" destOrd="0" presId="urn:microsoft.com/office/officeart/2005/8/layout/process2"/>
    <dgm:cxn modelId="{9761C9B7-0CA3-48A2-A33A-6566398844AA}" type="presOf" srcId="{168DB3B6-7003-4FFA-A8AB-F41F9BA65448}" destId="{27365B76-658E-4E96-9106-1AFBFFC2223E}" srcOrd="1" destOrd="0" presId="urn:microsoft.com/office/officeart/2005/8/layout/process2"/>
    <dgm:cxn modelId="{F514E4C0-9EBD-428D-9C9B-2628C5961D08}" type="presOf" srcId="{AA4CB2CB-13EB-467A-962D-8DD8EFC7D6FA}" destId="{40CFFBA7-620B-49A4-8F2E-AA998A0F0E67}" srcOrd="0" destOrd="0" presId="urn:microsoft.com/office/officeart/2005/8/layout/process2"/>
    <dgm:cxn modelId="{56E40616-4CD3-4835-AF49-1C30883D4AAD}" srcId="{8D14CFFB-E426-4189-A27F-0E885A00B1B9}" destId="{E4A16F86-D429-4E27-AC5A-D04B23D3DED1}" srcOrd="3" destOrd="0" parTransId="{73232E74-C9EC-4770-9D72-E950D7ACE7FE}" sibTransId="{2DA51A07-81D9-4917-9297-C1283F623AF1}"/>
    <dgm:cxn modelId="{08082D7B-B2D4-4BFD-B5E9-963BCF9392C5}" type="presOf" srcId="{AA9BFFF1-2400-4CDA-A701-D790DA28BB6D}" destId="{43FA8E06-6006-4897-B1F9-59A83D77CB39}" srcOrd="1" destOrd="0" presId="urn:microsoft.com/office/officeart/2005/8/layout/process2"/>
    <dgm:cxn modelId="{6013CFEA-2617-438F-A393-C96470E2351B}" type="presOf" srcId="{86862965-8D11-4733-B702-837DBCEA19C4}" destId="{65772146-53E4-4E2E-8953-A9980E6AAC78}" srcOrd="1" destOrd="0" presId="urn:microsoft.com/office/officeart/2005/8/layout/process2"/>
    <dgm:cxn modelId="{B4A830C1-EA6B-407E-B99E-A1A774619641}" srcId="{8D14CFFB-E426-4189-A27F-0E885A00B1B9}" destId="{A9E2754B-CB32-4CEA-9462-21377C60B470}" srcOrd="4" destOrd="0" parTransId="{2F794530-85B1-45B1-8E8E-F534A458C588}" sibTransId="{86862965-8D11-4733-B702-837DBCEA19C4}"/>
    <dgm:cxn modelId="{2AA3C405-8DBF-4E85-978D-22CFCE3EAAAB}" type="presOf" srcId="{E90054B2-C42A-4246-A802-C174E95DBC09}" destId="{E3133D5B-F89E-41F5-9D8D-1EE372D4C6AB}" srcOrd="0" destOrd="0" presId="urn:microsoft.com/office/officeart/2005/8/layout/process2"/>
    <dgm:cxn modelId="{EF0658EC-324F-44AC-96F7-06894E987ECD}" type="presParOf" srcId="{17F03AEF-8846-4992-A37D-8E6B5A5F98F4}" destId="{1D8E28F7-0867-4A31-AAEB-F6256678E24E}" srcOrd="0" destOrd="0" presId="urn:microsoft.com/office/officeart/2005/8/layout/process2"/>
    <dgm:cxn modelId="{08B3D6CC-4DB0-4AF8-83CB-A961D8C3602D}" type="presParOf" srcId="{17F03AEF-8846-4992-A37D-8E6B5A5F98F4}" destId="{40CFFBA7-620B-49A4-8F2E-AA998A0F0E67}" srcOrd="1" destOrd="0" presId="urn:microsoft.com/office/officeart/2005/8/layout/process2"/>
    <dgm:cxn modelId="{CC0A3F46-0BA7-483B-A014-D93A73FCFD0D}" type="presParOf" srcId="{40CFFBA7-620B-49A4-8F2E-AA998A0F0E67}" destId="{1BA53E8F-F898-4BA4-89E0-669B940BF541}" srcOrd="0" destOrd="0" presId="urn:microsoft.com/office/officeart/2005/8/layout/process2"/>
    <dgm:cxn modelId="{EDC36FC2-1E80-4711-9CAA-89E3925FA45C}" type="presParOf" srcId="{17F03AEF-8846-4992-A37D-8E6B5A5F98F4}" destId="{E014EFF0-D303-4238-A599-6B58F35F26A0}" srcOrd="2" destOrd="0" presId="urn:microsoft.com/office/officeart/2005/8/layout/process2"/>
    <dgm:cxn modelId="{606D9391-A950-4197-8058-C7A4E4BF36EC}" type="presParOf" srcId="{17F03AEF-8846-4992-A37D-8E6B5A5F98F4}" destId="{0672599D-4297-48F5-B1C9-0C0B12893D22}" srcOrd="3" destOrd="0" presId="urn:microsoft.com/office/officeart/2005/8/layout/process2"/>
    <dgm:cxn modelId="{0B21866A-560F-401A-A126-13030B62D81B}" type="presParOf" srcId="{0672599D-4297-48F5-B1C9-0C0B12893D22}" destId="{BD6D2AA4-7AAC-4A48-9D38-D99365CA5275}" srcOrd="0" destOrd="0" presId="urn:microsoft.com/office/officeart/2005/8/layout/process2"/>
    <dgm:cxn modelId="{7381ABC5-BE97-4D7F-96F3-C0E6F15748A9}" type="presParOf" srcId="{17F03AEF-8846-4992-A37D-8E6B5A5F98F4}" destId="{E3133D5B-F89E-41F5-9D8D-1EE372D4C6AB}" srcOrd="4" destOrd="0" presId="urn:microsoft.com/office/officeart/2005/8/layout/process2"/>
    <dgm:cxn modelId="{EEFF2314-B821-4E6E-A979-A1D3F295DA89}" type="presParOf" srcId="{17F03AEF-8846-4992-A37D-8E6B5A5F98F4}" destId="{3E51DBAE-8674-470B-B946-9A1833104D7D}" srcOrd="5" destOrd="0" presId="urn:microsoft.com/office/officeart/2005/8/layout/process2"/>
    <dgm:cxn modelId="{72B6106D-BAD1-4EEA-B815-892DD5265FB1}" type="presParOf" srcId="{3E51DBAE-8674-470B-B946-9A1833104D7D}" destId="{27365B76-658E-4E96-9106-1AFBFFC2223E}" srcOrd="0" destOrd="0" presId="urn:microsoft.com/office/officeart/2005/8/layout/process2"/>
    <dgm:cxn modelId="{81D9FF2E-2D72-4A16-8B92-4930C86A4A42}" type="presParOf" srcId="{17F03AEF-8846-4992-A37D-8E6B5A5F98F4}" destId="{6CA01A67-877B-4D79-84BD-C52F18884C04}" srcOrd="6" destOrd="0" presId="urn:microsoft.com/office/officeart/2005/8/layout/process2"/>
    <dgm:cxn modelId="{0A1AA6E2-6B72-4BF8-A17E-34C27876FEB0}" type="presParOf" srcId="{17F03AEF-8846-4992-A37D-8E6B5A5F98F4}" destId="{6FE114CF-EE44-42BD-B1BA-740A8EE3EBF9}" srcOrd="7" destOrd="0" presId="urn:microsoft.com/office/officeart/2005/8/layout/process2"/>
    <dgm:cxn modelId="{B60B2625-98F1-44A4-B677-8951E5DB9D1F}" type="presParOf" srcId="{6FE114CF-EE44-42BD-B1BA-740A8EE3EBF9}" destId="{28A73592-9B7C-4275-AF3A-E5359FBB2F55}" srcOrd="0" destOrd="0" presId="urn:microsoft.com/office/officeart/2005/8/layout/process2"/>
    <dgm:cxn modelId="{3342899C-DDD3-414F-BB19-C916F60F8ACE}" type="presParOf" srcId="{17F03AEF-8846-4992-A37D-8E6B5A5F98F4}" destId="{BDCCD6E3-32EE-4BEA-B7EA-13B26096357A}" srcOrd="8" destOrd="0" presId="urn:microsoft.com/office/officeart/2005/8/layout/process2"/>
    <dgm:cxn modelId="{0DD2B5E1-0E62-4DB1-9107-84E9173C557D}" type="presParOf" srcId="{17F03AEF-8846-4992-A37D-8E6B5A5F98F4}" destId="{CFE964AF-DCDD-410B-B8D6-8AB295A4C525}" srcOrd="9" destOrd="0" presId="urn:microsoft.com/office/officeart/2005/8/layout/process2"/>
    <dgm:cxn modelId="{A02FEB18-80A2-4FC3-8519-0144EB263E5B}" type="presParOf" srcId="{CFE964AF-DCDD-410B-B8D6-8AB295A4C525}" destId="{65772146-53E4-4E2E-8953-A9980E6AAC78}" srcOrd="0" destOrd="0" presId="urn:microsoft.com/office/officeart/2005/8/layout/process2"/>
    <dgm:cxn modelId="{4CCDA692-E63B-4852-858F-664F1A77C36B}" type="presParOf" srcId="{17F03AEF-8846-4992-A37D-8E6B5A5F98F4}" destId="{955CB429-980F-400D-84D5-D5D286A581E3}" srcOrd="10" destOrd="0" presId="urn:microsoft.com/office/officeart/2005/8/layout/process2"/>
    <dgm:cxn modelId="{B7F11244-4017-45F5-93FD-52B9B080B3FC}" type="presParOf" srcId="{17F03AEF-8846-4992-A37D-8E6B5A5F98F4}" destId="{F70C82B8-B6C2-425A-932E-095D247F9E8F}" srcOrd="11" destOrd="0" presId="urn:microsoft.com/office/officeart/2005/8/layout/process2"/>
    <dgm:cxn modelId="{BF9183BA-9C18-4F50-AD3C-9BDAE2B408FC}" type="presParOf" srcId="{F70C82B8-B6C2-425A-932E-095D247F9E8F}" destId="{43FA8E06-6006-4897-B1F9-59A83D77CB39}" srcOrd="0" destOrd="0" presId="urn:microsoft.com/office/officeart/2005/8/layout/process2"/>
    <dgm:cxn modelId="{952D984D-7CFA-41A8-8DB5-A4D50C70D490}" type="presParOf" srcId="{17F03AEF-8846-4992-A37D-8E6B5A5F98F4}" destId="{6ECFA937-6636-4745-856A-B47AD265B1D6}" srcOrd="12" destOrd="0" presId="urn:microsoft.com/office/officeart/2005/8/layout/process2"/>
    <dgm:cxn modelId="{DD2691EB-6274-409F-B00D-DAD313EDFB49}" type="presParOf" srcId="{17F03AEF-8846-4992-A37D-8E6B5A5F98F4}" destId="{8CB330EB-BA7F-49CB-9084-B6AC8B1FD3A0}" srcOrd="13" destOrd="0" presId="urn:microsoft.com/office/officeart/2005/8/layout/process2"/>
    <dgm:cxn modelId="{67420FD6-A06D-4CA9-BF15-F2FB6DA6FD04}" type="presParOf" srcId="{8CB330EB-BA7F-49CB-9084-B6AC8B1FD3A0}" destId="{A906FA7A-B8FD-4555-A791-68253C4A3ABD}" srcOrd="0" destOrd="0" presId="urn:microsoft.com/office/officeart/2005/8/layout/process2"/>
    <dgm:cxn modelId="{F9E6A5A1-5D16-4633-A7D6-69D3C8D9D333}" type="presParOf" srcId="{17F03AEF-8846-4992-A37D-8E6B5A5F98F4}" destId="{27EAC061-A896-4826-BB50-61D3BF89C74B}" srcOrd="14" destOrd="0" presId="urn:microsoft.com/office/officeart/2005/8/layout/process2"/>
    <dgm:cxn modelId="{BB218B7D-3445-4985-900E-9F4B437FAD00}" type="presParOf" srcId="{17F03AEF-8846-4992-A37D-8E6B5A5F98F4}" destId="{4195BE39-9281-4D20-BD5B-E1477775D9D2}" srcOrd="15" destOrd="0" presId="urn:microsoft.com/office/officeart/2005/8/layout/process2"/>
    <dgm:cxn modelId="{A3B964B3-5E6C-4298-ADB5-7B51AB52C3FE}" type="presParOf" srcId="{4195BE39-9281-4D20-BD5B-E1477775D9D2}" destId="{AB654D9F-D57E-4026-8B08-E93854108877}" srcOrd="0" destOrd="0" presId="urn:microsoft.com/office/officeart/2005/8/layout/process2"/>
    <dgm:cxn modelId="{3D7AAD76-BCE1-4010-A267-DB42E79DE12C}" type="presParOf" srcId="{17F03AEF-8846-4992-A37D-8E6B5A5F98F4}" destId="{CDFC5120-DDB5-47FE-82CF-0F1C2786E37D}" srcOrd="16" destOrd="0" presId="urn:microsoft.com/office/officeart/2005/8/layout/process2"/>
    <dgm:cxn modelId="{9249EE80-3169-4EFF-A6C2-38C70A289CF3}" type="presParOf" srcId="{17F03AEF-8846-4992-A37D-8E6B5A5F98F4}" destId="{E45A477D-0068-4DE1-BB31-98808F95BCDE}" srcOrd="17" destOrd="0" presId="urn:microsoft.com/office/officeart/2005/8/layout/process2"/>
    <dgm:cxn modelId="{61A4DDB4-3B55-4123-8818-48E2B4265D3E}" type="presParOf" srcId="{E45A477D-0068-4DE1-BB31-98808F95BCDE}" destId="{D1FD9557-D000-4DED-A9E3-E5CD2FB4144A}" srcOrd="0" destOrd="0" presId="urn:microsoft.com/office/officeart/2005/8/layout/process2"/>
    <dgm:cxn modelId="{A50A8980-C467-4942-95B7-8457F6637759}" type="presParOf" srcId="{17F03AEF-8846-4992-A37D-8E6B5A5F98F4}" destId="{FD90DB4E-15F8-4EA6-AC12-AA83E072C0BF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E28F7-0867-4A31-AAEB-F6256678E24E}">
      <dsp:nvSpPr>
        <dsp:cNvPr id="0" name=""/>
        <dsp:cNvSpPr/>
      </dsp:nvSpPr>
      <dsp:spPr>
        <a:xfrm>
          <a:off x="-5152" y="59581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1. Lancement de l’appel à manifestation d’intérêt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ysClr val="windowText" lastClr="000000"/>
              </a:solidFill>
            </a:rPr>
            <a:t>17 juillet </a:t>
          </a:r>
          <a:r>
            <a:rPr lang="fr-FR" sz="800" kern="1200" dirty="0" smtClean="0">
              <a:solidFill>
                <a:schemeClr val="tx1"/>
              </a:solidFill>
            </a:rPr>
            <a:t>2015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7819" y="72552"/>
        <a:ext cx="5745082" cy="416928"/>
      </dsp:txXfrm>
    </dsp:sp>
    <dsp:sp modelId="{40CFFBA7-620B-49A4-8F2E-AA998A0F0E67}">
      <dsp:nvSpPr>
        <dsp:cNvPr id="0" name=""/>
        <dsp:cNvSpPr/>
      </dsp:nvSpPr>
      <dsp:spPr>
        <a:xfrm rot="5400000">
          <a:off x="2797321" y="513523"/>
          <a:ext cx="16607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2820572" y="530131"/>
        <a:ext cx="119575" cy="116253"/>
      </dsp:txXfrm>
    </dsp:sp>
    <dsp:sp modelId="{E014EFF0-D303-4238-A599-6B58F35F26A0}">
      <dsp:nvSpPr>
        <dsp:cNvPr id="0" name=""/>
        <dsp:cNvSpPr/>
      </dsp:nvSpPr>
      <dsp:spPr>
        <a:xfrm>
          <a:off x="-5152" y="723887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444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2. Réception des candidatures complètes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30 septembre 2015 à 12h (heure </a:t>
          </a:r>
          <a:r>
            <a:rPr lang="fr-FR" sz="800" kern="1200" smtClean="0">
              <a:solidFill>
                <a:schemeClr val="tx1"/>
              </a:solidFill>
            </a:rPr>
            <a:t>de Guyane)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7819" y="736858"/>
        <a:ext cx="5745082" cy="416928"/>
      </dsp:txXfrm>
    </dsp:sp>
    <dsp:sp modelId="{0672599D-4297-48F5-B1C9-0C0B12893D22}">
      <dsp:nvSpPr>
        <dsp:cNvPr id="0" name=""/>
        <dsp:cNvSpPr/>
      </dsp:nvSpPr>
      <dsp:spPr>
        <a:xfrm rot="5400000">
          <a:off x="2797321" y="1177829"/>
          <a:ext cx="16607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288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2820572" y="1194437"/>
        <a:ext cx="119575" cy="116253"/>
      </dsp:txXfrm>
    </dsp:sp>
    <dsp:sp modelId="{E3133D5B-F89E-41F5-9D8D-1EE372D4C6AB}">
      <dsp:nvSpPr>
        <dsp:cNvPr id="0" name=""/>
        <dsp:cNvSpPr/>
      </dsp:nvSpPr>
      <dsp:spPr>
        <a:xfrm>
          <a:off x="-5152" y="1388192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8889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3. Ouverture et évaluation des candidatures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1er octobre 2015</a:t>
          </a:r>
        </a:p>
      </dsp:txBody>
      <dsp:txXfrm>
        <a:off x="7819" y="1401163"/>
        <a:ext cx="5745082" cy="416928"/>
      </dsp:txXfrm>
    </dsp:sp>
    <dsp:sp modelId="{3E51DBAE-8674-470B-B946-9A1833104D7D}">
      <dsp:nvSpPr>
        <dsp:cNvPr id="0" name=""/>
        <dsp:cNvSpPr/>
      </dsp:nvSpPr>
      <dsp:spPr>
        <a:xfrm rot="5400000">
          <a:off x="2797321" y="1842134"/>
          <a:ext cx="16607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577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2820572" y="1858742"/>
        <a:ext cx="119575" cy="116253"/>
      </dsp:txXfrm>
    </dsp:sp>
    <dsp:sp modelId="{6CA01A67-877B-4D79-84BD-C52F18884C04}">
      <dsp:nvSpPr>
        <dsp:cNvPr id="0" name=""/>
        <dsp:cNvSpPr/>
      </dsp:nvSpPr>
      <dsp:spPr>
        <a:xfrm>
          <a:off x="-5152" y="2052497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4. Envoi des  attestations de dépôt de candidature au titre de l'appel à manifestation d'intérêt – 06 octobre 2015</a:t>
          </a:r>
        </a:p>
      </dsp:txBody>
      <dsp:txXfrm>
        <a:off x="7819" y="2065468"/>
        <a:ext cx="5745082" cy="416928"/>
      </dsp:txXfrm>
    </dsp:sp>
    <dsp:sp modelId="{6FE114CF-EE44-42BD-B1BA-740A8EE3EBF9}">
      <dsp:nvSpPr>
        <dsp:cNvPr id="0" name=""/>
        <dsp:cNvSpPr/>
      </dsp:nvSpPr>
      <dsp:spPr>
        <a:xfrm rot="5400000">
          <a:off x="2797321" y="2506439"/>
          <a:ext cx="16607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86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2820572" y="2523047"/>
        <a:ext cx="119575" cy="116253"/>
      </dsp:txXfrm>
    </dsp:sp>
    <dsp:sp modelId="{BDCCD6E3-32EE-4BEA-B7EA-13B26096357A}">
      <dsp:nvSpPr>
        <dsp:cNvPr id="0" name=""/>
        <dsp:cNvSpPr/>
      </dsp:nvSpPr>
      <dsp:spPr>
        <a:xfrm>
          <a:off x="-5152" y="2716803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17778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5. Sélection des candidatures en Comité de Pilotage et de Synthèse suivant et au minimum un mois après le point 2.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06 novembre 2015 </a:t>
          </a:r>
        </a:p>
      </dsp:txBody>
      <dsp:txXfrm>
        <a:off x="7819" y="2729774"/>
        <a:ext cx="5745082" cy="416928"/>
      </dsp:txXfrm>
    </dsp:sp>
    <dsp:sp modelId="{CFE964AF-DCDD-410B-B8D6-8AB295A4C525}">
      <dsp:nvSpPr>
        <dsp:cNvPr id="0" name=""/>
        <dsp:cNvSpPr/>
      </dsp:nvSpPr>
      <dsp:spPr>
        <a:xfrm rot="5400000">
          <a:off x="2797321" y="3170745"/>
          <a:ext cx="16607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15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2820572" y="3187353"/>
        <a:ext cx="119575" cy="116253"/>
      </dsp:txXfrm>
    </dsp:sp>
    <dsp:sp modelId="{955CB429-980F-400D-84D5-D5D286A581E3}">
      <dsp:nvSpPr>
        <dsp:cNvPr id="0" name=""/>
        <dsp:cNvSpPr/>
      </dsp:nvSpPr>
      <dsp:spPr>
        <a:xfrm>
          <a:off x="-5152" y="3381108"/>
          <a:ext cx="577102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22222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6. Information aux candidats de la décision de sélection (dans un délai maximum de 15 jours après le point 5.) – 20 novembre 2015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Les candidats retenus sont ainsi habilités à déposer un dossier de demande d’aide au fonds européen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7819" y="3394079"/>
        <a:ext cx="5745082" cy="416928"/>
      </dsp:txXfrm>
    </dsp:sp>
    <dsp:sp modelId="{F70C82B8-B6C2-425A-932E-095D247F9E8F}">
      <dsp:nvSpPr>
        <dsp:cNvPr id="0" name=""/>
        <dsp:cNvSpPr/>
      </dsp:nvSpPr>
      <dsp:spPr>
        <a:xfrm rot="9199724">
          <a:off x="2025554" y="3837392"/>
          <a:ext cx="377812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443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082160" y="3863832"/>
        <a:ext cx="318025" cy="119575"/>
      </dsp:txXfrm>
    </dsp:sp>
    <dsp:sp modelId="{6ECFA937-6636-4745-856A-B47AD265B1D6}">
      <dsp:nvSpPr>
        <dsp:cNvPr id="0" name=""/>
        <dsp:cNvSpPr/>
      </dsp:nvSpPr>
      <dsp:spPr>
        <a:xfrm>
          <a:off x="25414" y="4050097"/>
          <a:ext cx="3046291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7a. Dépôt du dossier de demande d’aide complet auprès du Pôle Affaires Européennes de la Région dans les 1 ans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38385" y="4063068"/>
        <a:ext cx="3020349" cy="416928"/>
      </dsp:txXfrm>
    </dsp:sp>
    <dsp:sp modelId="{8CB330EB-BA7F-49CB-9084-B6AC8B1FD3A0}">
      <dsp:nvSpPr>
        <dsp:cNvPr id="0" name=""/>
        <dsp:cNvSpPr/>
      </dsp:nvSpPr>
      <dsp:spPr>
        <a:xfrm rot="5451671">
          <a:off x="1454516" y="4511886"/>
          <a:ext cx="177866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73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-5400000">
        <a:off x="1484062" y="4522602"/>
        <a:ext cx="119575" cy="124506"/>
      </dsp:txXfrm>
    </dsp:sp>
    <dsp:sp modelId="{27EAC061-A896-4826-BB50-61D3BF89C74B}">
      <dsp:nvSpPr>
        <dsp:cNvPr id="0" name=""/>
        <dsp:cNvSpPr/>
      </dsp:nvSpPr>
      <dsp:spPr>
        <a:xfrm>
          <a:off x="25396" y="4730095"/>
          <a:ext cx="3025884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31111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8. Vérification et instruction du projet selon la réglementation européenne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38367" y="4743066"/>
        <a:ext cx="2999942" cy="416928"/>
      </dsp:txXfrm>
    </dsp:sp>
    <dsp:sp modelId="{4195BE39-9281-4D20-BD5B-E1477775D9D2}">
      <dsp:nvSpPr>
        <dsp:cNvPr id="0" name=""/>
        <dsp:cNvSpPr/>
      </dsp:nvSpPr>
      <dsp:spPr>
        <a:xfrm rot="5399904">
          <a:off x="1466771" y="5168755"/>
          <a:ext cx="143152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202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-5400000">
        <a:off x="1478559" y="5196824"/>
        <a:ext cx="119575" cy="100206"/>
      </dsp:txXfrm>
    </dsp:sp>
    <dsp:sp modelId="{CDFC5120-DDB5-47FE-82CF-0F1C2786E37D}">
      <dsp:nvSpPr>
        <dsp:cNvPr id="0" name=""/>
        <dsp:cNvSpPr/>
      </dsp:nvSpPr>
      <dsp:spPr>
        <a:xfrm>
          <a:off x="5042" y="5363836"/>
          <a:ext cx="3066628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35556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9. Programmation du projet et attribution de l’aide européenne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18013" y="5376807"/>
        <a:ext cx="3040686" cy="416928"/>
      </dsp:txXfrm>
    </dsp:sp>
    <dsp:sp modelId="{E45A477D-0068-4DE1-BB31-98808F95BCDE}">
      <dsp:nvSpPr>
        <dsp:cNvPr id="0" name=""/>
        <dsp:cNvSpPr/>
      </dsp:nvSpPr>
      <dsp:spPr>
        <a:xfrm rot="5428262">
          <a:off x="1471898" y="5792308"/>
          <a:ext cx="127874" cy="1992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230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-5400000">
        <a:off x="1476206" y="5828017"/>
        <a:ext cx="119575" cy="89512"/>
      </dsp:txXfrm>
    </dsp:sp>
    <dsp:sp modelId="{FD90DB4E-15F8-4EA6-AC12-AA83E072C0BF}">
      <dsp:nvSpPr>
        <dsp:cNvPr id="0" name=""/>
        <dsp:cNvSpPr/>
      </dsp:nvSpPr>
      <dsp:spPr>
        <a:xfrm>
          <a:off x="0" y="5977200"/>
          <a:ext cx="3066628" cy="44287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 smtClean="0">
              <a:solidFill>
                <a:schemeClr val="tx1"/>
              </a:solidFill>
            </a:rPr>
            <a:t>10. Conventionnement et réalisation du projet</a:t>
          </a:r>
          <a:endParaRPr lang="fr-FR" sz="800" kern="1200" dirty="0">
            <a:solidFill>
              <a:schemeClr val="tx1"/>
            </a:solidFill>
          </a:endParaRPr>
        </a:p>
      </dsp:txBody>
      <dsp:txXfrm>
        <a:off x="12971" y="5990171"/>
        <a:ext cx="3040686" cy="416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5E43-787A-47C0-99DD-30AE8B96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OTHILY Yana</dc:creator>
  <cp:lastModifiedBy>OTHILY Yana</cp:lastModifiedBy>
  <cp:revision>2</cp:revision>
  <cp:lastPrinted>2015-07-16T16:54:00Z</cp:lastPrinted>
  <dcterms:created xsi:type="dcterms:W3CDTF">2015-07-16T18:35:00Z</dcterms:created>
  <dcterms:modified xsi:type="dcterms:W3CDTF">2015-07-16T18:35:00Z</dcterms:modified>
</cp:coreProperties>
</file>